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  <w:lang w:val="en-US" w:eastAsia="zh-CN"/>
        </w:rPr>
        <w:t>铜鼓县审计局</w:t>
      </w: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  <w:t>2021年政府信息公开工作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  <w:t>年度报告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根据《中华人民共和国政府信息公开条例》（国务院令第711号）和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铜鼓县政府信息公开办公室《关于做好年度政府信息公开工作报告工作》的通知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，我局编制了20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年度政府信息公开工作年度报告。全文由政府信息公开总体情况、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行政机关主动公开政府信息情况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、收到和处理政府信息公开申请情况、政府信息公开行政复议和行政诉讼情况、存在主要问题和改进情况、其它需要报告的事项六部分组成。本报告中所列数据的统计期限自2021年1月1日起至2021年12月31日止。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本报告可在铜鼓县人民政府网站下载（http://www.ton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ggu.gov.cn/xxgk-list-2020nian.html）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如有疑问，请与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铜鼓县审计局人秘股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联系。（地址：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铜鼓县定江西路358号行政综合大楼927室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，邮编：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336200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，电话: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0795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8722940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。）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总体情况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一年来，县审计局始终坚持以习近平新时代中国特色社会主义思想为指导，深入学习宣传贯彻党的十九大和十九届历次全会精神，依法全面履行审计监督职责，在政府信息公开工作中，坚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决贯彻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落实党中央、国务院和省、市、县的重大决策部署，认真贯彻落实政府信息公开条例和政务公开相关部署要求，6-7月全面扎实准备政务公开平台栏目调整各板块信息内容。全年共参加6次政务公开培训及推进会（其中：线上3次，线下3次），自6月中旬开始，定期在铜鼓县人民政府网站开展结对纠错工作，全年一共完成19轮纠错，累计为35个兄弟单位找出“毛病”，努力提升政务公开质量和实效。</w:t>
      </w:r>
    </w:p>
    <w:p>
      <w:pPr>
        <w:numPr>
          <w:ilvl w:val="0"/>
          <w:numId w:val="2"/>
        </w:numPr>
        <w:ind w:leftChars="200" w:right="0" w:rightChars="0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主动公开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年，我局积极贯彻落实“以公开为常态，不公开为例外”要求，全面加强主动公开工作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截至202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年底，累计主动公开政府信息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，新增公开政府信息38条，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审计公开7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条（含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政府投资审计项目复审结果3条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预算执行和其它财政收支审计情况1条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、贯彻落实稳增长等政策措施情况跟踪审计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重点工作2条，权责清单7条，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部门预决算2条，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工作报告2条，政策文件及解读各2条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公开指南1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意见征集及反馈各1条，领导简历1条，部门介绍1条，领导活动2条，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有关信息及动态10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条。公开途径主要为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铜鼓县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政府信息公开门户网站。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计工作重点领域公开情况。结合工作实际，围绕重点领域加大政务信息主动公开力度，把重大政策贯彻落实跟踪审计，上年度预算执行和其它财政收支审计结果，国有投资项目审计结果公告作为全面推进政务公开工作的重点，在规定的政府信息公开范围内，做好各项信息的公开，及时发布和更新应依法主动公开的政府信息，做到应公开尽公开，接受公众监督，保障人民群众的合法权益。</w:t>
      </w:r>
    </w:p>
    <w:p>
      <w:pPr>
        <w:pStyle w:val="2"/>
        <w:numPr>
          <w:ilvl w:val="0"/>
          <w:numId w:val="2"/>
        </w:numPr>
        <w:ind w:left="440" w:leftChars="200" w:firstLine="0" w:firstLineChars="0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依申请公开情况</w:t>
      </w:r>
    </w:p>
    <w:p>
      <w:pPr>
        <w:pStyle w:val="2"/>
        <w:numPr>
          <w:numId w:val="0"/>
        </w:numPr>
        <w:ind w:leftChars="200" w:right="0" w:rightChars="0"/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年，我局</w:t>
      </w:r>
      <w:r>
        <w:rPr>
          <w:rFonts w:hint="eastAsia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均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未接收到</w:t>
      </w:r>
      <w:r>
        <w:rPr>
          <w:rFonts w:hint="eastAsia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网上和线下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依申请公开信息。</w:t>
      </w:r>
    </w:p>
    <w:p>
      <w:pPr>
        <w:pStyle w:val="2"/>
        <w:numPr>
          <w:numId w:val="0"/>
        </w:numPr>
        <w:ind w:leftChars="200" w:right="0" w:rightChars="0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（三）政府信息管理情况</w:t>
      </w:r>
    </w:p>
    <w:p>
      <w:pPr>
        <w:pStyle w:val="2"/>
        <w:numPr>
          <w:numId w:val="0"/>
        </w:numPr>
        <w:ind w:right="0" w:rightChars="0" w:firstLine="63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提高政治站位，把政务信息工作融入到推动各项工作和加强干部队伍建设结合起来，及时更新完善政务公开内容，提高政府信息公开水平，把涉及人民群众切身利益的事项作为公开的重点。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及时清理规范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文件发布制度。</w:t>
      </w:r>
    </w:p>
    <w:p>
      <w:pPr>
        <w:pStyle w:val="2"/>
        <w:numPr>
          <w:numId w:val="0"/>
        </w:numPr>
        <w:ind w:leftChars="200" w:right="0" w:rightChars="0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（四）政府信息公开平台建设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2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做好依申请公开渠道和留言咨询平台的维护保障工作，定期登录并清理局电子邮箱，确保社会公众正常的信息公开申请和留言能够有效投递，切实保障政民互动渠道畅通。主动做好网站信息更新工作，第一时间做好政策解读，第一时间回应百姓关切。及时向社会发布审计业务公告以及我局日常工作动态，积极履行好审计监督职责，展现审计干部风采。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22" w:firstLineChars="200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监督保障</w:t>
      </w:r>
    </w:p>
    <w:p>
      <w:pPr>
        <w:pStyle w:val="2"/>
        <w:ind w:left="0" w:leftChars="0" w:firstLine="62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我局严格执行《关于铜鼓县政府信息公开管理工作制度 （试行）》等8项政务公开工作制度的通知，落实各</w:t>
      </w:r>
      <w:r>
        <w:rPr>
          <w:rFonts w:hint="eastAsia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股室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责任分工，由办公室负责政府信息公开的组织协调，法规</w:t>
      </w:r>
      <w:r>
        <w:rPr>
          <w:rFonts w:hint="eastAsia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审理股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负责政府信息公开申请的答复办理，各部门相互配合、各司其职，形成合力共同做好信息更新等工作。同时，在年度</w:t>
      </w:r>
      <w:r>
        <w:rPr>
          <w:rFonts w:hint="eastAsia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zh-CN"/>
        </w:rPr>
        <w:t>室综合考核中明确，如有未按政务公开责任分工和有关规定进行信息更新，并被上级有关部门通报批评的情况，给予扣除基本分处理，切实发挥好考核“指挥棒”作用。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7"/>
        <w:tblW w:w="8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2245"/>
        <w:gridCol w:w="2245"/>
        <w:gridCol w:w="2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制发件数</w:t>
            </w:r>
          </w:p>
        </w:tc>
        <w:tc>
          <w:tcPr>
            <w:tcW w:w="2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7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7"/>
        <w:tblW w:w="948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840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7"/>
        <w:tblW w:w="95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635"/>
        <w:gridCol w:w="635"/>
        <w:gridCol w:w="699"/>
        <w:gridCol w:w="571"/>
        <w:gridCol w:w="635"/>
        <w:gridCol w:w="635"/>
        <w:gridCol w:w="636"/>
        <w:gridCol w:w="636"/>
        <w:gridCol w:w="636"/>
        <w:gridCol w:w="637"/>
        <w:gridCol w:w="637"/>
        <w:gridCol w:w="637"/>
        <w:gridCol w:w="637"/>
        <w:gridCol w:w="6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09" w:hRule="atLeast"/>
          <w:jc w:val="center"/>
        </w:trPr>
        <w:tc>
          <w:tcPr>
            <w:tcW w:w="3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3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09" w:hRule="atLeast"/>
          <w:jc w:val="center"/>
        </w:trPr>
        <w:tc>
          <w:tcPr>
            <w:tcW w:w="6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5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1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1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6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  <w:lang w:val="en-US" w:eastAsia="zh-CN"/>
        </w:rPr>
        <w:t>2021年，虽然取得了</w:t>
      </w:r>
      <w:r>
        <w:rPr>
          <w:rFonts w:hint="eastAsia"/>
          <w:sz w:val="32"/>
          <w:szCs w:val="32"/>
          <w:lang w:val="en-US" w:eastAsia="zh-CN"/>
        </w:rPr>
        <w:t>较好</w:t>
      </w:r>
      <w:r>
        <w:rPr>
          <w:sz w:val="32"/>
          <w:szCs w:val="32"/>
          <w:lang w:val="en-US" w:eastAsia="zh-CN"/>
        </w:rPr>
        <w:t>的成绩，</w:t>
      </w:r>
      <w:r>
        <w:rPr>
          <w:rFonts w:hint="eastAsia"/>
          <w:sz w:val="32"/>
          <w:szCs w:val="32"/>
          <w:lang w:val="en-US" w:eastAsia="zh-CN"/>
        </w:rPr>
        <w:t>但也存在一定的问题：一是政策解读</w:t>
      </w:r>
      <w:r>
        <w:rPr>
          <w:sz w:val="32"/>
          <w:szCs w:val="32"/>
        </w:rPr>
        <w:t>创新性有待提高，虽增加了政策文件的解读材料，但形式</w:t>
      </w:r>
      <w:r>
        <w:rPr>
          <w:rFonts w:hint="eastAsia"/>
          <w:sz w:val="32"/>
          <w:szCs w:val="32"/>
          <w:lang w:val="en-US" w:eastAsia="zh-CN"/>
        </w:rPr>
        <w:t>过于单一，</w:t>
      </w:r>
      <w:r>
        <w:rPr>
          <w:sz w:val="32"/>
          <w:szCs w:val="32"/>
        </w:rPr>
        <w:t>还需进一步丰富，可读</w:t>
      </w:r>
      <w:r>
        <w:rPr>
          <w:sz w:val="32"/>
          <w:szCs w:val="32"/>
          <w:lang w:val="en-US" w:eastAsia="zh-CN"/>
        </w:rPr>
        <w:t>性</w:t>
      </w:r>
      <w:r>
        <w:rPr>
          <w:rFonts w:hint="eastAsia"/>
          <w:sz w:val="32"/>
          <w:szCs w:val="32"/>
          <w:lang w:val="en-US" w:eastAsia="zh-CN"/>
        </w:rPr>
        <w:t>有待提高。二</w:t>
      </w:r>
      <w:r>
        <w:rPr>
          <w:sz w:val="32"/>
          <w:szCs w:val="32"/>
          <w:lang w:val="en-US" w:eastAsia="zh-CN"/>
        </w:rPr>
        <w:t>是人员不足与工作任务重之间的矛盾。我局政务公开工作由</w:t>
      </w:r>
      <w:r>
        <w:rPr>
          <w:rFonts w:hint="eastAsia"/>
          <w:sz w:val="32"/>
          <w:szCs w:val="32"/>
          <w:lang w:val="en-US" w:eastAsia="zh-CN"/>
        </w:rPr>
        <w:t>办公室</w:t>
      </w:r>
      <w:r>
        <w:rPr>
          <w:sz w:val="32"/>
          <w:szCs w:val="32"/>
          <w:lang w:val="en-US" w:eastAsia="zh-CN"/>
        </w:rPr>
        <w:t>牵头负责，</w:t>
      </w:r>
      <w:r>
        <w:rPr>
          <w:rFonts w:hint="eastAsia"/>
          <w:sz w:val="32"/>
          <w:szCs w:val="32"/>
          <w:lang w:val="en-US" w:eastAsia="zh-CN"/>
        </w:rPr>
        <w:t>办公室</w:t>
      </w:r>
      <w:r>
        <w:rPr>
          <w:sz w:val="32"/>
          <w:szCs w:val="32"/>
          <w:lang w:val="en-US" w:eastAsia="zh-CN"/>
        </w:rPr>
        <w:t>人少事多，有</w:t>
      </w:r>
      <w:r>
        <w:rPr>
          <w:rFonts w:hint="eastAsia"/>
          <w:sz w:val="32"/>
          <w:szCs w:val="32"/>
          <w:lang w:val="en-US" w:eastAsia="zh-CN"/>
        </w:rPr>
        <w:t>时</w:t>
      </w:r>
      <w:r>
        <w:rPr>
          <w:sz w:val="32"/>
          <w:szCs w:val="32"/>
          <w:lang w:val="en-US" w:eastAsia="zh-CN"/>
        </w:rPr>
        <w:t>难以保证工作</w:t>
      </w:r>
      <w:r>
        <w:rPr>
          <w:rFonts w:hint="eastAsia"/>
          <w:sz w:val="32"/>
          <w:szCs w:val="32"/>
          <w:lang w:val="en-US" w:eastAsia="zh-CN"/>
        </w:rPr>
        <w:t>高</w:t>
      </w:r>
      <w:r>
        <w:rPr>
          <w:sz w:val="32"/>
          <w:szCs w:val="32"/>
          <w:lang w:val="en-US" w:eastAsia="zh-CN"/>
        </w:rPr>
        <w:t>质量</w:t>
      </w:r>
      <w:r>
        <w:rPr>
          <w:rFonts w:hint="eastAsia"/>
          <w:sz w:val="32"/>
          <w:szCs w:val="32"/>
          <w:lang w:val="en-US" w:eastAsia="zh-CN"/>
        </w:rPr>
        <w:t>。2022年，</w:t>
      </w:r>
      <w:r>
        <w:rPr>
          <w:rFonts w:hint="eastAsia"/>
          <w:sz w:val="32"/>
          <w:szCs w:val="32"/>
        </w:rPr>
        <w:t>我局将继续认真按照国务院、省市</w:t>
      </w:r>
      <w:r>
        <w:rPr>
          <w:rFonts w:hint="eastAsia"/>
          <w:sz w:val="32"/>
          <w:szCs w:val="32"/>
          <w:lang w:val="en-US" w:eastAsia="zh-CN"/>
        </w:rPr>
        <w:t>县</w:t>
      </w:r>
      <w:r>
        <w:rPr>
          <w:rFonts w:hint="eastAsia"/>
          <w:sz w:val="32"/>
          <w:szCs w:val="32"/>
        </w:rPr>
        <w:t>关于政务公开工作的有关要求，结合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rFonts w:hint="eastAsia"/>
          <w:sz w:val="32"/>
          <w:szCs w:val="32"/>
        </w:rPr>
        <w:t>实际，</w:t>
      </w:r>
      <w:r>
        <w:rPr>
          <w:rFonts w:hint="eastAsia"/>
          <w:sz w:val="32"/>
          <w:szCs w:val="32"/>
          <w:lang w:val="en-US" w:eastAsia="zh-CN"/>
        </w:rPr>
        <w:t>探索解读多样性，</w:t>
      </w:r>
      <w:r>
        <w:rPr>
          <w:sz w:val="32"/>
          <w:szCs w:val="32"/>
        </w:rPr>
        <w:t>尽量增加</w:t>
      </w:r>
      <w:r>
        <w:rPr>
          <w:rFonts w:hint="eastAsia"/>
          <w:sz w:val="32"/>
          <w:szCs w:val="32"/>
          <w:lang w:val="en-US" w:eastAsia="zh-CN"/>
        </w:rPr>
        <w:t>办公室</w:t>
      </w:r>
      <w:r>
        <w:rPr>
          <w:sz w:val="32"/>
          <w:szCs w:val="32"/>
        </w:rPr>
        <w:t>人员，缓解人少事多矛盾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进一步完善体制机制建设，继续深化重点领域审计信息公开力度，不断提高日常监测运维管理水平，自觉接受社会</w:t>
      </w:r>
      <w:r>
        <w:rPr>
          <w:rFonts w:hint="eastAsia"/>
          <w:sz w:val="32"/>
          <w:szCs w:val="32"/>
        </w:rPr>
        <w:t>各界监督，切实推动我局政务公开工作再上新台阶。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无。</w:t>
      </w:r>
    </w:p>
    <w:p>
      <w:pPr>
        <w:pStyle w:val="2"/>
        <w:numPr>
          <w:numId w:val="0"/>
        </w:numPr>
        <w:ind w:leftChars="200" w:right="0" w:right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519" w:bottom="1327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D54C6F-06AD-44EC-863F-1619B92662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9E8897-80D3-4A51-ACD3-54C7014DA22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5CC3B9D-8253-4452-B5D7-4CB109E714D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0458346A-298D-4F5A-9BFD-4E9267063DB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522D629-5191-4060-B64F-C2661874A82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CC6FB24-4A20-4DD5-AE3E-7EE4FD29DE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9938385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1.95pt;margin-top:782.55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EgJa9oAAAANAQAADwAAAAAAAAABACAAAAAiAAAAZHJzL2Rvd25yZXYueG1sUEsB&#10;AhQAFAAAAAgAh07iQGKH4oO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3A47D3"/>
    <w:multiLevelType w:val="singleLevel"/>
    <w:tmpl w:val="D93A47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E63706"/>
    <w:multiLevelType w:val="singleLevel"/>
    <w:tmpl w:val="1CE6370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61C09DF"/>
    <w:multiLevelType w:val="singleLevel"/>
    <w:tmpl w:val="461C09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57E93"/>
    <w:rsid w:val="164E1E13"/>
    <w:rsid w:val="1F625DE1"/>
    <w:rsid w:val="266635D0"/>
    <w:rsid w:val="4E6F64E2"/>
    <w:rsid w:val="51E22F4A"/>
    <w:rsid w:val="527B25D8"/>
    <w:rsid w:val="5358354F"/>
    <w:rsid w:val="54432194"/>
    <w:rsid w:val="55824216"/>
    <w:rsid w:val="67146009"/>
    <w:rsid w:val="67596154"/>
    <w:rsid w:val="6FD43835"/>
    <w:rsid w:val="70C739D1"/>
    <w:rsid w:val="7E257E93"/>
    <w:rsid w:val="7FD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17"/>
      <w:ind w:left="352" w:right="381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before="149"/>
      <w:ind w:left="1290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Lines="0"/>
      <w:ind w:left="420" w:leftChars="200" w:firstLine="210"/>
    </w:pPr>
  </w:style>
  <w:style w:type="paragraph" w:styleId="5">
    <w:name w:val="Body Text"/>
    <w:basedOn w:val="1"/>
    <w:qFormat/>
    <w:uiPriority w:val="1"/>
    <w:pPr>
      <w:ind w:left="32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1"/>
    <w:pPr>
      <w:spacing w:before="209"/>
      <w:ind w:left="648" w:right="493" w:hanging="648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2022-01-12T02:00:00Z</dcterms:created>
  <dc:creator>J ` 琳</dc:creator>
  <cp:lastModifiedBy>J ` 琳</cp:lastModifiedBy>
  <cp:lastPrinted>2022-01-13T07:17:38Z</cp:lastPrinted>
  <dcterms:modified xsi:type="dcterms:W3CDTF">2022-01-13T08:16:51Z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858C877630094434B6D592C4C071D753</vt:lpwstr>
  </property>
</Properties>
</file>