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hint="eastAsia" w:ascii="宋体" w:hAnsi="宋体" w:eastAsia="宋体" w:cs="宋体"/>
          <w:b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kern w:val="0"/>
          <w:sz w:val="44"/>
          <w:szCs w:val="44"/>
          <w:lang w:val="en-US" w:eastAsia="zh-CN"/>
        </w:rPr>
        <w:t>铜鼓县交通运输局</w:t>
      </w:r>
      <w:r>
        <w:rPr>
          <w:rFonts w:hint="eastAsia" w:ascii="宋体" w:hAnsi="宋体" w:eastAsia="宋体" w:cs="宋体"/>
          <w:b/>
          <w:kern w:val="0"/>
          <w:sz w:val="44"/>
          <w:szCs w:val="44"/>
        </w:rPr>
        <w:t>2021年政府信息公开</w:t>
      </w:r>
    </w:p>
    <w:p>
      <w:pPr>
        <w:adjustRightInd w:val="0"/>
        <w:snapToGrid w:val="0"/>
        <w:spacing w:line="600" w:lineRule="exact"/>
        <w:jc w:val="center"/>
        <w:rPr>
          <w:rFonts w:hint="eastAsia" w:ascii="宋体" w:hAnsi="宋体" w:eastAsia="宋体" w:cs="宋体"/>
          <w:b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kern w:val="0"/>
          <w:sz w:val="44"/>
          <w:szCs w:val="44"/>
        </w:rPr>
        <w:t>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根据</w:t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新修订的《中华人民共和国政府信息公开条例》和</w:t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《</w:t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年报通知》</w:t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要求，</w:t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结合交通运输工作实际，</w:t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依法推进政府信息公开工作，特向社会公布2020年度本单位信息公开年度报告。</w:t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本报告</w:t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包括总体情况、</w:t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行政机关</w:t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主动公开政府信息情况、收到和处理政府信息公开申请情况、政府信息公开行政复议、行政诉讼情况、存在的主要问题及改进情况、其他需要报告的事项等部分组成。本报告的电子版可在铜鼓县人民政府网站（http://www.tonggu.gov.cn/）下载。如对本报告有疑问，请与铜鼓县</w:t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交通运输</w:t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局</w:t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综合</w:t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股联系（地址：铜鼓县行政大数</w:t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428</w:t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室，邮编：3362</w:t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00</w:t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，联系电话：0795-8722</w:t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256</w:t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）。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一、总体情况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微软雅黑 Light" w:hAnsi="微软雅黑 Light" w:eastAsia="微软雅黑 Light" w:cs="微软雅黑 Light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认真贯彻</w:t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《条例》</w:t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精神</w:t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明确了局</w:t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综合</w:t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股为</w:t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交通运输</w:t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局政府信息公开工作的主要责任</w:t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股室</w:t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，负责</w:t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交通运输</w:t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局政府信息公开工作的组织协调、指导推进和监督检查</w:t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；</w:t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其他股室负责相关政务信息报送工作。严格按照各股室落实、政府信息公开分管领导</w:t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审核</w:t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、主要领导审批、</w:t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综合</w:t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股公开发布，实行全过程、全方位监督工作，确保我局信息公开工作安全有序，信息发布及时、规范、</w:t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安全</w:t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，实现了“以公开为原则，不公开为例外”，保证了“上网信息不涉密，涉密信息不上网”，使</w:t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交通</w:t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信息工作规范化、长效化。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微软雅黑 Light" w:hAnsi="微软雅黑 Light" w:eastAsia="微软雅黑 Light" w:cs="微软雅黑 Light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b/>
          <w:bCs w:val="0"/>
          <w:kern w:val="0"/>
          <w:sz w:val="32"/>
          <w:szCs w:val="32"/>
          <w:lang w:val="en-US" w:eastAsia="zh-CN"/>
        </w:rPr>
        <w:t>（一）主动公开情况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000000"/>
          <w:spacing w:val="0"/>
          <w:sz w:val="32"/>
          <w:szCs w:val="32"/>
        </w:rPr>
        <w:t>20</w:t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21</w:t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我局</w:t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000000"/>
          <w:spacing w:val="0"/>
          <w:sz w:val="32"/>
          <w:szCs w:val="32"/>
        </w:rPr>
        <w:t>主动公开政府信息</w:t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25</w:t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000000"/>
          <w:spacing w:val="0"/>
          <w:sz w:val="32"/>
          <w:szCs w:val="32"/>
        </w:rPr>
        <w:t>条，其中</w:t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信息</w:t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000000"/>
          <w:spacing w:val="0"/>
          <w:sz w:val="32"/>
          <w:szCs w:val="32"/>
        </w:rPr>
        <w:t>公开指南1条</w:t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决策公开9条</w:t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（</w:t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000000"/>
          <w:spacing w:val="0"/>
          <w:sz w:val="32"/>
          <w:szCs w:val="32"/>
        </w:rPr>
        <w:t>政策解读</w:t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000000"/>
          <w:spacing w:val="0"/>
          <w:sz w:val="32"/>
          <w:szCs w:val="32"/>
        </w:rPr>
        <w:t>条</w:t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、</w:t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其他有关文件2条、规划计划3条、意见征集及反馈2条、），管理和服务公开10条（</w:t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000000"/>
          <w:spacing w:val="0"/>
          <w:sz w:val="32"/>
          <w:szCs w:val="32"/>
        </w:rPr>
        <w:t>财经信息类5条</w:t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、</w:t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000000"/>
          <w:spacing w:val="0"/>
          <w:sz w:val="32"/>
          <w:szCs w:val="32"/>
        </w:rPr>
        <w:t>概况信息</w:t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4</w:t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000000"/>
          <w:spacing w:val="0"/>
          <w:sz w:val="32"/>
          <w:szCs w:val="32"/>
        </w:rPr>
        <w:t>条</w:t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、</w:t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权责清单1条</w:t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），</w:t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执行和结果公开4</w:t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000000"/>
          <w:spacing w:val="0"/>
          <w:sz w:val="32"/>
          <w:szCs w:val="32"/>
        </w:rPr>
        <w:t>条</w:t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（工作报告2条、建议提案办理1条、重点工作分解及时展1条），重点领域信息公开1条。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微软雅黑 Light" w:hAnsi="微软雅黑 Light" w:eastAsia="微软雅黑 Light" w:cs="微软雅黑 Light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b/>
          <w:bCs w:val="0"/>
          <w:kern w:val="0"/>
          <w:sz w:val="32"/>
          <w:szCs w:val="32"/>
          <w:lang w:val="en-US" w:eastAsia="zh-CN"/>
        </w:rPr>
        <w:t>（二）依申请公开情况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微软雅黑 Light" w:hAnsi="微软雅黑 Light" w:eastAsia="微软雅黑 Light" w:cs="微软雅黑 Light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2021</w:t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32"/>
          <w:szCs w:val="32"/>
        </w:rPr>
        <w:t>年度我局</w:t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未收到依</w:t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32"/>
          <w:szCs w:val="32"/>
        </w:rPr>
        <w:t>申请公开信息 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微软雅黑 Light" w:hAnsi="微软雅黑 Light" w:eastAsia="微软雅黑 Light" w:cs="微软雅黑 Light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b/>
          <w:bCs w:val="0"/>
          <w:kern w:val="0"/>
          <w:sz w:val="32"/>
          <w:szCs w:val="32"/>
          <w:lang w:val="en-US" w:eastAsia="zh-CN"/>
        </w:rPr>
        <w:t>（三）政府信息管理情况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微软雅黑 Light" w:hAnsi="微软雅黑 Light" w:eastAsia="微软雅黑 Light" w:cs="微软雅黑 Light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b w:val="0"/>
          <w:bCs/>
          <w:kern w:val="0"/>
          <w:sz w:val="32"/>
          <w:szCs w:val="32"/>
          <w:lang w:val="en-US" w:eastAsia="zh-CN"/>
        </w:rPr>
        <w:t>一是强化组织领导。明确了政府信息公开工作的分管领导、责任股室和责任人。主要领导亲自审批，分管领导直接负责，相关责任人和局属各股室逐级负责，形成了有效的工作机制。进一步完善信息公开工作流程，推进政府信息公开工作制度化、规范化。二是建立工作机制。强化公开保密审查制度，对外发布的信息层层审核、校对，保障政府信息规范、准确、安全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微软雅黑 Light" w:hAnsi="微软雅黑 Light" w:eastAsia="微软雅黑 Light" w:cs="微软雅黑 Light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b/>
          <w:bCs w:val="0"/>
          <w:kern w:val="0"/>
          <w:sz w:val="32"/>
          <w:szCs w:val="32"/>
          <w:lang w:val="en-US" w:eastAsia="zh-CN"/>
        </w:rPr>
        <w:t>（四）政府信息公开平台建设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微软雅黑 Light" w:hAnsi="微软雅黑 Light" w:eastAsia="微软雅黑 Light" w:cs="微软雅黑 Light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微软雅黑 Light" w:hAnsi="微软雅黑 Light" w:eastAsia="微软雅黑 Light" w:cs="微软雅黑 Light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通过</w:t>
      </w:r>
      <w:r>
        <w:rPr>
          <w:rFonts w:hint="eastAsia" w:ascii="微软雅黑 Light" w:hAnsi="微软雅黑 Light" w:eastAsia="微软雅黑 Light" w:cs="微软雅黑 Light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政府信息公开平台发布</w:t>
      </w:r>
      <w:r>
        <w:rPr>
          <w:rFonts w:hint="eastAsia" w:ascii="微软雅黑 Light" w:hAnsi="微软雅黑 Light" w:eastAsia="微软雅黑 Light" w:cs="微软雅黑 Light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微软雅黑 Light" w:hAnsi="微软雅黑 Light" w:eastAsia="微软雅黑 Light" w:cs="微软雅黑 Light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新媒体、报刊、广播、电视等方式公开信息。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微软雅黑 Light" w:hAnsi="微软雅黑 Light" w:eastAsia="微软雅黑 Light" w:cs="微软雅黑 Light"/>
          <w:b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微软雅黑 Light" w:hAnsi="微软雅黑 Light" w:eastAsia="微软雅黑 Light" w:cs="微软雅黑 Light"/>
          <w:b/>
          <w:bCs w:val="0"/>
          <w:kern w:val="0"/>
          <w:sz w:val="32"/>
          <w:szCs w:val="32"/>
          <w:lang w:val="en-US" w:eastAsia="zh-CN"/>
        </w:rPr>
        <w:t>（五）监督保障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微软雅黑 Light" w:hAnsi="微软雅黑 Light" w:eastAsia="微软雅黑 Light" w:cs="微软雅黑 Light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/>
        </w:rPr>
      </w:pPr>
      <w:r>
        <w:rPr>
          <w:rFonts w:hint="eastAsia" w:ascii="微软雅黑 Light" w:hAnsi="微软雅黑 Light" w:eastAsia="微软雅黑 Light" w:cs="微软雅黑 Light"/>
          <w:kern w:val="0"/>
          <w:sz w:val="32"/>
          <w:szCs w:val="32"/>
          <w:lang w:val="en-US" w:eastAsia="zh-CN"/>
        </w:rPr>
        <w:t>一是压实工作责任。严格按照公开事项的名称、依据、内容、时限、主体责任抓好工作落实，公开实效得到进一步提升。二是狠抓整改落实。根据市、县主管部门反馈的问题，制定整改清单，明确整改时限，及时报告整改情况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7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本年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现行有效件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7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8"/>
        <w:gridCol w:w="1014"/>
        <w:gridCol w:w="3154"/>
        <w:gridCol w:w="686"/>
        <w:gridCol w:w="686"/>
        <w:gridCol w:w="686"/>
        <w:gridCol w:w="686"/>
        <w:gridCol w:w="686"/>
        <w:gridCol w:w="686"/>
        <w:gridCol w:w="68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494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0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8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自然人</w:t>
            </w:r>
          </w:p>
        </w:tc>
        <w:tc>
          <w:tcPr>
            <w:tcW w:w="343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法人或其他组织</w:t>
            </w:r>
          </w:p>
        </w:tc>
        <w:tc>
          <w:tcPr>
            <w:tcW w:w="686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企业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机构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社会公益组织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法律服务机构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其他</w:t>
            </w:r>
          </w:p>
        </w:tc>
        <w:tc>
          <w:tcPr>
            <w:tcW w:w="686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三、本年度办理结果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（一）予以公开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（三）不予公开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1.属于国家秘密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2.其他法律行政法规禁止公开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3.危及“三安全一稳定”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4.保护第三方合法权益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5.属于三类内部事务信息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6.属于四类过程性信息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7.属于行政执法案卷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8.属于行政查询事项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（四）无法提供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1.本机关不掌握相关政府信息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2.没有现成信息需要另行制作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3.补正后申请内容仍不明确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（五）不予处理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1.信访举报投诉类申请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2.重复申请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3.要求提供公开出版物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4.无正当理由大量反复申请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2" w:hRule="atLeast"/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（六）其他处理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3.其他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（七）总计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四、结转下年度继续办理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四、政府信息公开行政复议、行政诉讼情况</w:t>
      </w:r>
    </w:p>
    <w:tbl>
      <w:tblPr>
        <w:tblStyle w:val="7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五、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存在的主要问题及改进情况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/>
        <w:jc w:val="both"/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一是对信息公开的认识还不</w:t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够</w:t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，缺乏信息主动公开的意识。二是政策解读意识不够强，解读材料的时效性还不够</w:t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；</w:t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三是对重点领域信息未能做到全部公开。</w:t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下一步，强化责任意识和工作</w:t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措施，</w:t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提升政策解读，促进</w:t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政府信息公开工作制度化、规范化。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六、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其他需要报告的事项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微软雅黑 Light" w:hAnsi="微软雅黑 Light" w:eastAsia="微软雅黑 Light" w:cs="微软雅黑 Light"/>
          <w:color w:val="333333"/>
          <w:sz w:val="32"/>
          <w:szCs w:val="32"/>
          <w:shd w:val="clear" w:fill="FFFFFF"/>
        </w:rPr>
        <w:t>无。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D6A67"/>
    <w:rsid w:val="03A9358B"/>
    <w:rsid w:val="050A5241"/>
    <w:rsid w:val="076444C8"/>
    <w:rsid w:val="0AF139A7"/>
    <w:rsid w:val="0BAA1044"/>
    <w:rsid w:val="1077526D"/>
    <w:rsid w:val="12744159"/>
    <w:rsid w:val="12905F07"/>
    <w:rsid w:val="13F217DA"/>
    <w:rsid w:val="15FD6214"/>
    <w:rsid w:val="165322D8"/>
    <w:rsid w:val="18E85BBE"/>
    <w:rsid w:val="19632D1C"/>
    <w:rsid w:val="1A6920CA"/>
    <w:rsid w:val="213B4094"/>
    <w:rsid w:val="23D700A4"/>
    <w:rsid w:val="255D6CCF"/>
    <w:rsid w:val="27711856"/>
    <w:rsid w:val="2D09525C"/>
    <w:rsid w:val="2D4615F9"/>
    <w:rsid w:val="2DCA75C3"/>
    <w:rsid w:val="315A2315"/>
    <w:rsid w:val="318458AB"/>
    <w:rsid w:val="31F77CDE"/>
    <w:rsid w:val="326B485E"/>
    <w:rsid w:val="351A4295"/>
    <w:rsid w:val="38820215"/>
    <w:rsid w:val="391A5421"/>
    <w:rsid w:val="3CD16134"/>
    <w:rsid w:val="3FC86AB9"/>
    <w:rsid w:val="40041DC0"/>
    <w:rsid w:val="403211A2"/>
    <w:rsid w:val="42F75C15"/>
    <w:rsid w:val="44112D07"/>
    <w:rsid w:val="49386623"/>
    <w:rsid w:val="4B210482"/>
    <w:rsid w:val="4B9D5D12"/>
    <w:rsid w:val="50672CDB"/>
    <w:rsid w:val="52825BBA"/>
    <w:rsid w:val="54155043"/>
    <w:rsid w:val="5AAF37D8"/>
    <w:rsid w:val="5AE44879"/>
    <w:rsid w:val="5E35224B"/>
    <w:rsid w:val="5EA33D4D"/>
    <w:rsid w:val="635F7193"/>
    <w:rsid w:val="6CA36342"/>
    <w:rsid w:val="6E4A0A40"/>
    <w:rsid w:val="71D06B33"/>
    <w:rsid w:val="73552361"/>
    <w:rsid w:val="75C918D0"/>
    <w:rsid w:val="7967694A"/>
    <w:rsid w:val="7FA8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4"/>
    <w:qFormat/>
    <w:uiPriority w:val="0"/>
    <w:pPr>
      <w:spacing w:after="120" w:afterLines="0" w:afterAutospacing="0"/>
      <w:ind w:left="420" w:leftChars="200"/>
    </w:p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3"/>
    <w:qFormat/>
    <w:uiPriority w:val="0"/>
    <w:pPr>
      <w:ind w:firstLine="420" w:firstLineChars="200"/>
    </w:p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FollowedHyperlink"/>
    <w:basedOn w:val="8"/>
    <w:qFormat/>
    <w:uiPriority w:val="0"/>
    <w:rPr>
      <w:color w:val="2B2B2B"/>
      <w:u w:val="none"/>
    </w:rPr>
  </w:style>
  <w:style w:type="character" w:styleId="11">
    <w:name w:val="HTML Definition"/>
    <w:basedOn w:val="8"/>
    <w:qFormat/>
    <w:uiPriority w:val="0"/>
    <w:rPr>
      <w:i/>
      <w:iCs/>
    </w:rPr>
  </w:style>
  <w:style w:type="character" w:styleId="12">
    <w:name w:val="Hyperlink"/>
    <w:basedOn w:val="8"/>
    <w:qFormat/>
    <w:uiPriority w:val="0"/>
    <w:rPr>
      <w:color w:val="333333"/>
      <w:u w:val="none"/>
    </w:rPr>
  </w:style>
  <w:style w:type="character" w:styleId="13">
    <w:name w:val="HTML Code"/>
    <w:basedOn w:val="8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4">
    <w:name w:val="HTML Keyboard"/>
    <w:basedOn w:val="8"/>
    <w:qFormat/>
    <w:uiPriority w:val="0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5">
    <w:name w:val="HTML Sample"/>
    <w:basedOn w:val="8"/>
    <w:qFormat/>
    <w:uiPriority w:val="0"/>
    <w:rPr>
      <w:rFonts w:hint="default" w:ascii="Consolas" w:hAnsi="Consolas" w:eastAsia="Consolas" w:cs="Consolas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2022-01-06T01:22:00Z</dcterms:created>
  <dc:creator>admin</dc:creator>
  <cp:lastModifiedBy>lenovo</cp:lastModifiedBy>
  <dcterms:modified xsi:type="dcterms:W3CDTF">2022-01-19T08:14:32Z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C8A5A5763A8A430FAF027E7BC43B88B7</vt:lpwstr>
  </property>
</Properties>
</file>