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江西铜鼓工业园区管理委员会2021年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江西铜鼓工业园区管理委员会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根据《中华人民共和国政府信息公开条例》规定和国务院、省、市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和县</w:t>
      </w:r>
      <w:r>
        <w:rPr>
          <w:rFonts w:hint="eastAsia" w:ascii="仿宋_GB2312" w:hAnsi="仿宋_GB2312" w:eastAsia="仿宋_GB2312" w:cs="仿宋_GB2312"/>
          <w:sz w:val="32"/>
          <w:szCs w:val="32"/>
        </w:rPr>
        <w:t>的工作要求，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江西铜鼓工业园区管理委员会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政府信息公开指南》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为抓手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，坚持以公开为常态、不公开为例外的原则，根据工作职能做好本部门的政府信息公开工作。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江西铜鼓工业园区管理委员会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在本单位频道主动公开政府信息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条，含通知公告类信息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条，工作动态类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条，人事信息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江西铜鼓工业园区管理委员会共受理政府信息公开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严格执行《铜鼓县政府信息公开管理工作制度》，对在政府网站上发布的信息做好严格审核登记，着力做好政务公开方面的保密、审查等工作。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按照县政府办统一安排，对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进行改版升级，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优化文章排版设计，以文字、图片等形式发布最新的园区工作动态、政策解读等。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江西铜鼓工业园区管理委员会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人负责此项工作，严格按照县政府办信息中心工作要求，每周检查一次更新内容及更新频率是否达到要求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14"/>
        <w:gridCol w:w="3154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江西铜鼓工业园区管理委员会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信息公开工作取得一定进展，但在落实过程中还存在一些问题与不足：一是存在网站更新不及时情况，二是政务公开工作人员能力有待提升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针对以上问题，我们将进一步采取有效措施。一是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健全信息安全专人负责、专人审查制度，对在政府网站平台发布的信息进行严格审查把关，做到每篇认真反复检查和定期读网，确保信息发布准确、全面、安全、及时。二是进一步加强业务知识的学习，规范政务公开工作、加强纵向与横向的沟通协调，按照县政委的要求，对政务公开信息弥补缺漏，及时更新，高标准严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DB7465"/>
    <w:multiLevelType w:val="singleLevel"/>
    <w:tmpl w:val="15DB746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B15317"/>
    <w:multiLevelType w:val="singleLevel"/>
    <w:tmpl w:val="5DB1531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A5241"/>
    <w:rsid w:val="18CF62FD"/>
    <w:rsid w:val="564D7C8C"/>
    <w:rsid w:val="575F07CB"/>
    <w:rsid w:val="6453073C"/>
    <w:rsid w:val="71D0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2022-01-06T01:22:00Z</dcterms:created>
  <dc:creator>admin</dc:creator>
  <cp:lastModifiedBy>admin</cp:lastModifiedBy>
  <dcterms:modified xsi:type="dcterms:W3CDTF">2022-01-19T08:49:05Z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65644272E90A4A2587B19218B6BCC20C</vt:lpwstr>
  </property>
</Properties>
</file>