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b/>
          <w:bCs/>
          <w:i w:val="0"/>
          <w:iCs w:val="0"/>
          <w:caps w:val="0"/>
          <w:color w:val="333333"/>
          <w:spacing w:val="0"/>
          <w:kern w:val="0"/>
          <w:sz w:val="36"/>
          <w:szCs w:val="36"/>
          <w:shd w:val="clear" w:fill="FFFFFF"/>
          <w:lang w:val="en-US" w:eastAsia="zh-CN" w:bidi="ar"/>
        </w:rPr>
        <w:t>三都镇人民政府2021年政府信息公开工作年度报告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333333"/>
          <w:spacing w:val="0"/>
          <w:sz w:val="25"/>
          <w:szCs w:val="25"/>
          <w:shd w:val="clear" w:fill="FFFFFF"/>
        </w:rPr>
      </w:pPr>
      <w:r>
        <w:rPr>
          <w:rFonts w:ascii="微软雅黑" w:hAnsi="微软雅黑" w:eastAsia="微软雅黑" w:cs="微软雅黑"/>
          <w:i w:val="0"/>
          <w:iCs w:val="0"/>
          <w:caps w:val="0"/>
          <w:color w:val="333333"/>
          <w:spacing w:val="0"/>
          <w:sz w:val="25"/>
          <w:szCs w:val="25"/>
          <w:shd w:val="clear" w:fill="FFFFFF"/>
        </w:rPr>
        <w:t>2021年度政府信息公开报告是根据《中华人民共和国政府信息公开条例》（以下简称《条例》）和《</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ascii="微软雅黑" w:hAnsi="微软雅黑" w:eastAsia="微软雅黑" w:cs="微软雅黑"/>
          <w:i w:val="0"/>
          <w:iCs w:val="0"/>
          <w:caps w:val="0"/>
          <w:color w:val="333333"/>
          <w:spacing w:val="0"/>
          <w:sz w:val="25"/>
          <w:szCs w:val="25"/>
          <w:shd w:val="clear" w:fill="FFFFFF"/>
        </w:rPr>
        <w:t>政府信息公开规定》（以下简称《规定》）要求。本报告由总体情况、主动公开政府信息情况，依申请公开政府信息情况、因政务信息公开申请行政复议和行政诉讼情况、政务信息公开工作存在的主要问题及改进措施和其他需要报告事项等六大部分组成。本报告中所列数据的统计自2021年1月1日至2021年12月31日止。</w:t>
      </w:r>
      <w:r>
        <w:rPr>
          <w:rFonts w:hint="eastAsia" w:ascii="微软雅黑" w:hAnsi="微软雅黑" w:eastAsia="微软雅黑" w:cs="微软雅黑"/>
          <w:i w:val="0"/>
          <w:iCs w:val="0"/>
          <w:caps w:val="0"/>
          <w:color w:val="333333"/>
          <w:spacing w:val="0"/>
          <w:sz w:val="25"/>
          <w:szCs w:val="25"/>
          <w:shd w:val="clear" w:fill="FFFFFF"/>
        </w:rPr>
        <w:t>如对本报告有任何疑问，请联系三都镇人民政府办公室（地址：三都镇莲山路19号，电话: 0795—8771213）</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一、总体情况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Style w:val="6"/>
          <w:rFonts w:hint="eastAsia" w:ascii="微软雅黑" w:hAnsi="微软雅黑" w:eastAsia="微软雅黑" w:cs="微软雅黑"/>
          <w:b w:val="0"/>
          <w:bCs/>
          <w:i w:val="0"/>
          <w:iCs w:val="0"/>
          <w:caps w:val="0"/>
          <w:color w:val="333333"/>
          <w:spacing w:val="0"/>
          <w:sz w:val="25"/>
          <w:szCs w:val="25"/>
          <w:shd w:val="clear" w:fill="FFFFFF"/>
          <w:lang w:eastAsia="zh-CN"/>
        </w:rPr>
      </w:pPr>
      <w:r>
        <w:rPr>
          <w:rStyle w:val="6"/>
          <w:rFonts w:hint="eastAsia" w:ascii="微软雅黑" w:hAnsi="微软雅黑" w:eastAsia="微软雅黑" w:cs="微软雅黑"/>
          <w:b w:val="0"/>
          <w:bCs/>
          <w:i w:val="0"/>
          <w:iCs w:val="0"/>
          <w:caps w:val="0"/>
          <w:color w:val="333333"/>
          <w:spacing w:val="0"/>
          <w:sz w:val="25"/>
          <w:szCs w:val="25"/>
          <w:shd w:val="clear" w:fill="FFFFFF"/>
        </w:rPr>
        <w:t>2021年，三都镇在政府信息公开工作中，坚决贯彻落实党中央、国务院和省、市、县的重大决策部署，认真贯彻落实政府信息公开条例和政务公开相关部署要求。坚持以公开透明、公平公正、便民利民为出发点，增加公众参与度，不断提高政务公开的质量和实效，增强群众获得感，提升政府公信力</w:t>
      </w:r>
      <w:r>
        <w:rPr>
          <w:rStyle w:val="6"/>
          <w:rFonts w:hint="eastAsia" w:ascii="微软雅黑" w:hAnsi="微软雅黑" w:eastAsia="微软雅黑" w:cs="微软雅黑"/>
          <w:b w:val="0"/>
          <w:bCs/>
          <w:i w:val="0"/>
          <w:iCs w:val="0"/>
          <w:caps w:val="0"/>
          <w:color w:val="333333"/>
          <w:spacing w:val="0"/>
          <w:sz w:val="25"/>
          <w:szCs w:val="25"/>
          <w:shd w:val="clear" w:fill="FFFFFF"/>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Style w:val="6"/>
          <w:rFonts w:hint="eastAsia" w:ascii="微软雅黑" w:hAnsi="微软雅黑" w:eastAsia="微软雅黑" w:cs="微软雅黑"/>
          <w:i w:val="0"/>
          <w:iCs w:val="0"/>
          <w:caps w:val="0"/>
          <w:color w:val="333333"/>
          <w:spacing w:val="0"/>
          <w:sz w:val="25"/>
          <w:szCs w:val="25"/>
          <w:shd w:val="clear" w:fill="FFFFFF"/>
        </w:rPr>
        <w:t>（一）主动公开情况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2021年，</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人民政府紧紧围绕县委、县政府中心工作，按照以“公开为原则，不公开为例外”的总体要求，依托政府门户网站政务公开平台，及时公开政务服务事项清单、议案提案办理、便民利企政策等政府信息。通过铜鼓县人民政府网主动公开信息公开指南1条，规划计划2条，政策解读5条，其他有关文件</w:t>
      </w:r>
      <w:r>
        <w:rPr>
          <w:rFonts w:hint="eastAsia" w:ascii="微软雅黑" w:hAnsi="微软雅黑" w:eastAsia="微软雅黑" w:cs="微软雅黑"/>
          <w:i w:val="0"/>
          <w:iCs w:val="0"/>
          <w:caps w:val="0"/>
          <w:color w:val="333333"/>
          <w:spacing w:val="0"/>
          <w:sz w:val="25"/>
          <w:szCs w:val="25"/>
          <w:shd w:val="clear" w:fill="FFFFFF"/>
          <w:lang w:val="en-US" w:eastAsia="zh-CN"/>
        </w:rPr>
        <w:t>13</w:t>
      </w:r>
      <w:r>
        <w:rPr>
          <w:rFonts w:hint="eastAsia" w:ascii="微软雅黑" w:hAnsi="微软雅黑" w:eastAsia="微软雅黑" w:cs="微软雅黑"/>
          <w:i w:val="0"/>
          <w:iCs w:val="0"/>
          <w:caps w:val="0"/>
          <w:color w:val="333333"/>
          <w:spacing w:val="0"/>
          <w:sz w:val="25"/>
          <w:szCs w:val="25"/>
          <w:shd w:val="clear" w:fill="FFFFFF"/>
        </w:rPr>
        <w:t>条，财政预决算</w:t>
      </w:r>
      <w:r>
        <w:rPr>
          <w:rFonts w:hint="eastAsia" w:ascii="微软雅黑" w:hAnsi="微软雅黑" w:eastAsia="微软雅黑" w:cs="微软雅黑"/>
          <w:i w:val="0"/>
          <w:iCs w:val="0"/>
          <w:caps w:val="0"/>
          <w:color w:val="333333"/>
          <w:spacing w:val="0"/>
          <w:sz w:val="25"/>
          <w:szCs w:val="25"/>
          <w:shd w:val="clear" w:fill="FFFFFF"/>
          <w:lang w:val="en-US" w:eastAsia="zh-CN"/>
        </w:rPr>
        <w:t>2</w:t>
      </w:r>
      <w:r>
        <w:rPr>
          <w:rFonts w:hint="eastAsia" w:ascii="微软雅黑" w:hAnsi="微软雅黑" w:eastAsia="微软雅黑" w:cs="微软雅黑"/>
          <w:i w:val="0"/>
          <w:iCs w:val="0"/>
          <w:caps w:val="0"/>
          <w:color w:val="333333"/>
          <w:spacing w:val="0"/>
          <w:sz w:val="25"/>
          <w:szCs w:val="25"/>
          <w:shd w:val="clear" w:fill="FFFFFF"/>
        </w:rPr>
        <w:t>条，部门介绍1条，机构职能1条，领导活动2条，领导简历1条，工作报告2条，建议议案1条，重点工作分解</w:t>
      </w:r>
      <w:r>
        <w:rPr>
          <w:rFonts w:hint="eastAsia" w:ascii="微软雅黑" w:hAnsi="微软雅黑" w:eastAsia="微软雅黑" w:cs="微软雅黑"/>
          <w:i w:val="0"/>
          <w:iCs w:val="0"/>
          <w:caps w:val="0"/>
          <w:color w:val="333333"/>
          <w:spacing w:val="0"/>
          <w:sz w:val="25"/>
          <w:szCs w:val="25"/>
          <w:shd w:val="clear" w:fill="FFFFFF"/>
          <w:lang w:val="en-US" w:eastAsia="zh-CN"/>
        </w:rPr>
        <w:t>2</w:t>
      </w:r>
      <w:r>
        <w:rPr>
          <w:rFonts w:hint="eastAsia" w:ascii="微软雅黑" w:hAnsi="微软雅黑" w:eastAsia="微软雅黑" w:cs="微软雅黑"/>
          <w:i w:val="0"/>
          <w:iCs w:val="0"/>
          <w:caps w:val="0"/>
          <w:color w:val="333333"/>
          <w:spacing w:val="0"/>
          <w:sz w:val="25"/>
          <w:szCs w:val="25"/>
          <w:shd w:val="clear" w:fill="FFFFFF"/>
        </w:rPr>
        <w:t>条</w:t>
      </w:r>
      <w:r>
        <w:rPr>
          <w:rFonts w:hint="eastAsia" w:ascii="微软雅黑" w:hAnsi="微软雅黑" w:eastAsia="微软雅黑" w:cs="微软雅黑"/>
          <w:i w:val="0"/>
          <w:iCs w:val="0"/>
          <w:caps w:val="0"/>
          <w:color w:val="333333"/>
          <w:spacing w:val="0"/>
          <w:sz w:val="25"/>
          <w:szCs w:val="25"/>
          <w:shd w:val="clear" w:fill="FFFFFF"/>
          <w:lang w:val="en-US" w:eastAsia="zh-CN"/>
        </w:rPr>
        <w:t>等。</w:t>
      </w:r>
      <w:r>
        <w:rPr>
          <w:rFonts w:hint="eastAsia" w:ascii="微软雅黑" w:hAnsi="微软雅黑" w:eastAsia="微软雅黑" w:cs="微软雅黑"/>
          <w:i w:val="0"/>
          <w:iCs w:val="0"/>
          <w:caps w:val="0"/>
          <w:color w:val="333333"/>
          <w:spacing w:val="0"/>
          <w:sz w:val="25"/>
          <w:szCs w:val="25"/>
          <w:shd w:val="clear" w:fill="FFFFFF"/>
        </w:rPr>
        <w:t>办事群众通过网页访问铜鼓县人民政府网，在政府信息公开栏目下点击</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镇即可查阅以上信息，也可以在</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镇便民服务中心一楼政务公开专区查询相关信息。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Style w:val="6"/>
          <w:rFonts w:hint="eastAsia" w:ascii="微软雅黑" w:hAnsi="微软雅黑" w:eastAsia="微软雅黑" w:cs="微软雅黑"/>
          <w:i w:val="0"/>
          <w:iCs w:val="0"/>
          <w:caps w:val="0"/>
          <w:color w:val="333333"/>
          <w:spacing w:val="0"/>
          <w:sz w:val="25"/>
          <w:szCs w:val="25"/>
          <w:shd w:val="clear" w:fill="FFFFFF"/>
        </w:rPr>
        <w:t>（二）依申请公开情况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镇人民政府严格按照信息公开申请办理答复的程序和标准，畅通依申请公开受理渠道、精准规范答复意见，制定会商机制等措施，进一步提升本部门依申请公开办理水平。2021年全年收到政府信息公开申请0件。</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Style w:val="6"/>
          <w:rFonts w:hint="eastAsia" w:ascii="微软雅黑" w:hAnsi="微软雅黑" w:eastAsia="微软雅黑" w:cs="微软雅黑"/>
          <w:i w:val="0"/>
          <w:iCs w:val="0"/>
          <w:caps w:val="0"/>
          <w:color w:val="333333"/>
          <w:spacing w:val="0"/>
          <w:sz w:val="25"/>
          <w:szCs w:val="25"/>
          <w:shd w:val="clear" w:fill="FFFFFF"/>
        </w:rPr>
        <w:t>（三）政府信息管理情况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333333"/>
          <w:spacing w:val="0"/>
          <w:sz w:val="28"/>
          <w:szCs w:val="28"/>
        </w:rPr>
      </w:pPr>
      <w:r>
        <w:rPr>
          <w:rFonts w:hint="eastAsia" w:ascii="微软雅黑" w:hAnsi="微软雅黑" w:eastAsia="微软雅黑" w:cs="微软雅黑"/>
          <w:i w:val="0"/>
          <w:iCs w:val="0"/>
          <w:caps w:val="0"/>
          <w:color w:val="333333"/>
          <w:spacing w:val="0"/>
          <w:sz w:val="24"/>
          <w:szCs w:val="24"/>
        </w:rPr>
        <w:t>政府信息公开工作列入重要议事日程，根据人员变化情况，及时更新政务公开管理人员，明确责任到人。完善政务公开更新制度，保证至少每周一、周三、周五的更新“政务动态”栏目，每月至少更新一次“规范性文件”栏目，其他栏目准时更新到位，保证了政府信息公开工作的有序开展。依据《政府信息公开条例》，进一步完善预先审查和预先公开制度，有效推动了政府信息公开工作制度化、规范化发展。</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Style w:val="6"/>
          <w:rFonts w:hint="eastAsia" w:ascii="微软雅黑" w:hAnsi="微软雅黑" w:eastAsia="微软雅黑" w:cs="微软雅黑"/>
          <w:i w:val="0"/>
          <w:iCs w:val="0"/>
          <w:caps w:val="0"/>
          <w:color w:val="333333"/>
          <w:spacing w:val="0"/>
          <w:sz w:val="25"/>
          <w:szCs w:val="25"/>
          <w:shd w:val="clear" w:fill="FFFFFF"/>
        </w:rPr>
        <w:t>（四）政府信息公开平台建设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333333"/>
          <w:spacing w:val="0"/>
          <w:sz w:val="25"/>
          <w:szCs w:val="25"/>
          <w:shd w:val="clear" w:fill="FFFFFF"/>
        </w:rPr>
      </w:pP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镇按照县政府统一部署，一是在铜鼓县人民政府网站上开设了</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政府信息公开栏目，通过这些栏目人民群众可以了解本部门权限内可以公开的所有政务信息。二是在政务服务中心一楼大厅打造了一个线下政务公开专区，方便前来办事的企业群众随时随地获取本部门相关政府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Style w:val="6"/>
          <w:rFonts w:hint="eastAsia" w:ascii="微软雅黑" w:hAnsi="微软雅黑" w:eastAsia="微软雅黑" w:cs="微软雅黑"/>
          <w:i w:val="0"/>
          <w:iCs w:val="0"/>
          <w:caps w:val="0"/>
          <w:color w:val="333333"/>
          <w:spacing w:val="0"/>
          <w:sz w:val="25"/>
          <w:szCs w:val="25"/>
          <w:shd w:val="clear" w:fill="FFFFFF"/>
        </w:rPr>
        <w:t>（五）监督保障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2021年，</w:t>
      </w:r>
      <w:r>
        <w:rPr>
          <w:rFonts w:hint="eastAsia" w:ascii="微软雅黑" w:hAnsi="微软雅黑" w:eastAsia="微软雅黑" w:cs="微软雅黑"/>
          <w:i w:val="0"/>
          <w:iCs w:val="0"/>
          <w:caps w:val="0"/>
          <w:color w:val="333333"/>
          <w:spacing w:val="0"/>
          <w:sz w:val="25"/>
          <w:szCs w:val="25"/>
          <w:shd w:val="clear" w:fill="FFFFFF"/>
          <w:lang w:val="en-US" w:eastAsia="zh-CN"/>
        </w:rPr>
        <w:t>三都</w:t>
      </w:r>
      <w:r>
        <w:rPr>
          <w:rFonts w:hint="eastAsia" w:ascii="微软雅黑" w:hAnsi="微软雅黑" w:eastAsia="微软雅黑" w:cs="微软雅黑"/>
          <w:i w:val="0"/>
          <w:iCs w:val="0"/>
          <w:caps w:val="0"/>
          <w:color w:val="333333"/>
          <w:spacing w:val="0"/>
          <w:sz w:val="25"/>
          <w:szCs w:val="25"/>
          <w:shd w:val="clear" w:fill="FFFFFF"/>
        </w:rPr>
        <w:t>镇人民政府坚持“以公开为常态、不公开为例外，遵循公正、公平、合法、便民”原则，结合工作职能出台了相关政府信息公开管理制度，通过健全信息公开发布机制，加强组织领导、人员保障、经费保障、督查问责，明确责任分工，畅通线上线下信息公开渠道，全方位、多维度推进政府信息公开工作提质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二、行政机关主动公开政府信息情况</w:t>
      </w:r>
    </w:p>
    <w:tbl>
      <w:tblPr>
        <w:tblStyle w:val="4"/>
        <w:tblW w:w="973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0"/>
        <w:gridCol w:w="2430"/>
        <w:gridCol w:w="2430"/>
        <w:gridCol w:w="2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9735" w:type="dxa"/>
            <w:gridSpan w:val="4"/>
            <w:tcBorders>
              <w:top w:val="single" w:color="000000" w:sz="6" w:space="0"/>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信息内容</w:t>
            </w:r>
          </w:p>
        </w:tc>
        <w:tc>
          <w:tcPr>
            <w:tcW w:w="243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本年制发件数</w:t>
            </w:r>
          </w:p>
        </w:tc>
        <w:tc>
          <w:tcPr>
            <w:tcW w:w="243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本年废止件数</w:t>
            </w:r>
          </w:p>
        </w:tc>
        <w:tc>
          <w:tcPr>
            <w:tcW w:w="243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规章</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行政规范性文件</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eastAsiaTheme="minorEastAsia"/>
                <w:lang w:val="en-US" w:eastAsia="zh-CN"/>
              </w:rPr>
            </w:pPr>
            <w:r>
              <w:rPr>
                <w:rFonts w:hint="eastAsia"/>
                <w:lang w:val="en-US" w:eastAsia="zh-CN"/>
              </w:rPr>
              <w:t>13</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243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default" w:eastAsiaTheme="minorEastAsia"/>
                <w:lang w:val="en-US" w:eastAsia="zh-CN"/>
              </w:rPr>
            </w:pPr>
            <w:r>
              <w:rPr>
                <w:rFonts w:hint="eastAsia"/>
                <w:lang w:val="en-US" w:eastAsia="zh-CN"/>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信息内容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行政许可</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信息内容</w:t>
            </w:r>
          </w:p>
        </w:tc>
        <w:tc>
          <w:tcPr>
            <w:tcW w:w="7305" w:type="dxa"/>
            <w:gridSpan w:val="3"/>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行政处罚</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行政强制</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9735" w:type="dxa"/>
            <w:gridSpan w:val="4"/>
            <w:tcBorders>
              <w:top w:val="nil"/>
              <w:left w:val="single" w:color="000000" w:sz="6" w:space="0"/>
              <w:bottom w:val="single" w:color="000000" w:sz="6" w:space="0"/>
              <w:right w:val="single" w:color="000000" w:sz="6" w:space="0"/>
            </w:tcBorders>
            <w:shd w:val="clear" w:color="auto" w:fill="C6D9F1"/>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信息内容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5" w:hRule="atLeast"/>
          <w:tblCellSpacing w:w="0" w:type="dxa"/>
        </w:trPr>
        <w:tc>
          <w:tcPr>
            <w:tcW w:w="2430" w:type="dxa"/>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行政事业性收费</w:t>
            </w:r>
          </w:p>
        </w:tc>
        <w:tc>
          <w:tcPr>
            <w:tcW w:w="7305" w:type="dxa"/>
            <w:gridSpan w:val="3"/>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三、收到和处理政府信息公开申请情况</w:t>
      </w:r>
    </w:p>
    <w:tbl>
      <w:tblPr>
        <w:tblStyle w:val="4"/>
        <w:tblW w:w="975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79"/>
        <w:gridCol w:w="1019"/>
        <w:gridCol w:w="3135"/>
        <w:gridCol w:w="688"/>
        <w:gridCol w:w="688"/>
        <w:gridCol w:w="688"/>
        <w:gridCol w:w="688"/>
        <w:gridCol w:w="688"/>
        <w:gridCol w:w="688"/>
        <w:gridCol w:w="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950" w:type="dxa"/>
            <w:gridSpan w:val="3"/>
            <w:vMerge w:val="restart"/>
            <w:tcBorders>
              <w:top w:val="single" w:color="000000" w:sz="6" w:space="0"/>
              <w:left w:val="single" w:color="000000" w:sz="6" w:space="0"/>
              <w:bottom w:val="outset"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（本列数据的勾稽关系为：第一项加第二项之和，等于第三项加第四项之和）</w:t>
            </w:r>
          </w:p>
        </w:tc>
        <w:tc>
          <w:tcPr>
            <w:tcW w:w="4800" w:type="dxa"/>
            <w:gridSpan w:val="7"/>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950" w:type="dxa"/>
            <w:gridSpan w:val="3"/>
            <w:vMerge w:val="continue"/>
            <w:tcBorders>
              <w:top w:val="single" w:color="000000" w:sz="6" w:space="0"/>
              <w:left w:val="single" w:color="000000" w:sz="6" w:space="0"/>
              <w:bottom w:val="outset"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90" w:type="dxa"/>
            <w:vMerge w:val="restart"/>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自然人</w:t>
            </w:r>
          </w:p>
        </w:tc>
        <w:tc>
          <w:tcPr>
            <w:tcW w:w="3435" w:type="dxa"/>
            <w:gridSpan w:val="5"/>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法人或其他组织</w:t>
            </w:r>
          </w:p>
        </w:tc>
        <w:tc>
          <w:tcPr>
            <w:tcW w:w="690" w:type="dxa"/>
            <w:vMerge w:val="restart"/>
            <w:tcBorders>
              <w:top w:val="single" w:color="000000" w:sz="6" w:space="0"/>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0" w:hRule="atLeast"/>
          <w:tblCellSpacing w:w="0" w:type="dxa"/>
        </w:trPr>
        <w:tc>
          <w:tcPr>
            <w:tcW w:w="4950" w:type="dxa"/>
            <w:gridSpan w:val="3"/>
            <w:vMerge w:val="continue"/>
            <w:tcBorders>
              <w:top w:val="single" w:color="000000" w:sz="6" w:space="0"/>
              <w:left w:val="single" w:color="000000" w:sz="6" w:space="0"/>
              <w:bottom w:val="outset"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90" w:type="dxa"/>
            <w:vMerge w:val="continue"/>
            <w:tcBorders>
              <w:top w:val="nil"/>
              <w:left w:val="nil"/>
              <w:bottom w:val="single"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商业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企业</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科研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机构</w:t>
            </w:r>
          </w:p>
        </w:tc>
        <w:tc>
          <w:tcPr>
            <w:tcW w:w="69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社会公益组织</w:t>
            </w:r>
          </w:p>
        </w:tc>
        <w:tc>
          <w:tcPr>
            <w:tcW w:w="69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法律服务机构</w:t>
            </w:r>
          </w:p>
        </w:tc>
        <w:tc>
          <w:tcPr>
            <w:tcW w:w="69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其他</w:t>
            </w:r>
          </w:p>
        </w:tc>
        <w:tc>
          <w:tcPr>
            <w:tcW w:w="690" w:type="dxa"/>
            <w:vMerge w:val="continue"/>
            <w:tcBorders>
              <w:top w:val="single" w:color="000000" w:sz="6" w:space="0"/>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950"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一、本年新收政府信息公开申请数量</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950"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二、上年结转政府信息公开申请数量</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restart"/>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​三、本年度办理结果</w:t>
            </w:r>
          </w:p>
        </w:tc>
        <w:tc>
          <w:tcPr>
            <w:tcW w:w="4170"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（一）予以公开</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4170"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（二）部分公开（区分处理的，只计这一情形，不计其他情形）</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restart"/>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（三）不予公开</w:t>
            </w: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1.属于国家秘密</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single" w:color="000000" w:sz="6" w:space="0"/>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2.其他法律行政法规禁止公开</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3.危及“三安全一稳定”</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4.保护第三方合法权益</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5.属于三类内部事务信息</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6.属于四类过程性信息</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7.属于行政执法案卷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8.属于行政查询事项</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restart"/>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（四）无法提供</w:t>
            </w: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1.本机关不掌握相关政府信息</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2.没有现成信息需要另行制作</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3.补正后申请内容仍不明确</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restart"/>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（五）不予处理</w:t>
            </w: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1.信访举报投诉类申请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2.重复申请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3.要求提供公开出版物</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4.无正当理由大量反复申请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80" w:hRule="atLeast"/>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5.要求行政机关确认或重新出具已获取信息</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restart"/>
            <w:tcBorders>
              <w:top w:val="nil"/>
              <w:left w:val="nil"/>
              <w:bottom w:val="outset"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（六）其他处理</w:t>
            </w: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1.申请人无正当理由逾期不补正、行政机关不再处理其政府信息公开申请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2.申请人逾期未按收费通知要求缴纳费用、行政机关不再处理其政府信息公开申请</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1020" w:type="dxa"/>
            <w:vMerge w:val="continue"/>
            <w:tcBorders>
              <w:top w:val="nil"/>
              <w:left w:val="nil"/>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315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pPr>
            <w:r>
              <w:t>3.其他</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0" w:hRule="atLeast"/>
          <w:tblCellSpacing w:w="0" w:type="dxa"/>
        </w:trPr>
        <w:tc>
          <w:tcPr>
            <w:tcW w:w="780" w:type="dxa"/>
            <w:vMerge w:val="continue"/>
            <w:tcBorders>
              <w:top w:val="nil"/>
              <w:left w:val="single" w:color="000000" w:sz="6" w:space="0"/>
              <w:bottom w:val="outset" w:color="000000" w:sz="6" w:space="0"/>
              <w:right w:val="single" w:color="000000" w:sz="6" w:space="0"/>
            </w:tcBorders>
            <w:shd w:val="clear" w:color="auto" w:fill="auto"/>
            <w:tcMar>
              <w:left w:w="60" w:type="dxa"/>
              <w:right w:w="60" w:type="dxa"/>
            </w:tcMar>
            <w:vAlign w:val="center"/>
          </w:tcPr>
          <w:p>
            <w:pPr>
              <w:rPr>
                <w:rFonts w:hint="eastAsia" w:ascii="宋体"/>
                <w:sz w:val="24"/>
                <w:szCs w:val="24"/>
              </w:rPr>
            </w:pPr>
          </w:p>
        </w:tc>
        <w:tc>
          <w:tcPr>
            <w:tcW w:w="4170" w:type="dxa"/>
            <w:gridSpan w:val="2"/>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t>（七）总计</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4950" w:type="dxa"/>
            <w:gridSpan w:val="3"/>
            <w:tcBorders>
              <w:top w:val="nil"/>
              <w:left w:val="single" w:color="000000" w:sz="6" w:space="0"/>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20"/>
              <w:jc w:val="left"/>
            </w:pPr>
            <w:r>
              <w:t>四、结转下年度继续办理</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c>
          <w:tcPr>
            <w:tcW w:w="690" w:type="dxa"/>
            <w:tcBorders>
              <w:top w:val="nil"/>
              <w:left w:val="nil"/>
              <w:bottom w:val="single" w:color="000000" w:sz="6" w:space="0"/>
              <w:right w:val="single" w:color="000000" w:sz="6" w:space="0"/>
            </w:tcBorders>
            <w:shd w:val="clear" w:color="auto" w:fill="auto"/>
            <w:tcMar>
              <w:left w:w="60" w:type="dxa"/>
              <w:right w:w="60"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四、政府信息公开行政复议、行政诉讼情况</w:t>
      </w:r>
    </w:p>
    <w:tbl>
      <w:tblPr>
        <w:tblStyle w:val="4"/>
        <w:tblW w:w="975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50"/>
        <w:gridCol w:w="650"/>
        <w:gridCol w:w="650"/>
        <w:gridCol w:w="650"/>
        <w:gridCol w:w="650"/>
        <w:gridCol w:w="650"/>
        <w:gridCol w:w="650"/>
        <w:gridCol w:w="650"/>
        <w:gridCol w:w="650"/>
        <w:gridCol w:w="650"/>
        <w:gridCol w:w="650"/>
        <w:gridCol w:w="650"/>
        <w:gridCol w:w="650"/>
        <w:gridCol w:w="650"/>
        <w:gridCol w:w="6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3210"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行政复议</w:t>
            </w:r>
          </w:p>
        </w:tc>
        <w:tc>
          <w:tcPr>
            <w:tcW w:w="6435"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4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t>结果维持</w:t>
            </w:r>
          </w:p>
        </w:tc>
        <w:tc>
          <w:tcPr>
            <w:tcW w:w="64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pPr>
            <w:r>
              <w:t>纠正</w:t>
            </w:r>
          </w:p>
        </w:tc>
        <w:tc>
          <w:tcPr>
            <w:tcW w:w="645"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tc>
        <w:tc>
          <w:tcPr>
            <w:tcW w:w="645"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审结</w:t>
            </w:r>
          </w:p>
        </w:tc>
        <w:tc>
          <w:tcPr>
            <w:tcW w:w="645" w:type="dxa"/>
            <w:vMerge w:val="restart"/>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总计</w:t>
            </w:r>
          </w:p>
        </w:tc>
        <w:tc>
          <w:tcPr>
            <w:tcW w:w="321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未经复议直接起诉</w:t>
            </w:r>
          </w:p>
        </w:tc>
        <w:tc>
          <w:tcPr>
            <w:tcW w:w="3210" w:type="dxa"/>
            <w:gridSpan w:val="5"/>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blCellSpacing w:w="0" w:type="dxa"/>
        </w:trPr>
        <w:tc>
          <w:tcPr>
            <w:tcW w:w="64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45" w:type="dxa"/>
            <w:vMerge w:val="continue"/>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rPr>
                <w:rFonts w:hint="eastAsia" w:ascii="宋体"/>
                <w:sz w:val="24"/>
                <w:szCs w:val="24"/>
              </w:rPr>
            </w:pP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维持</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纠正</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审结</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总计</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维持</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纠正</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其他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结果</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尚未</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审结</w:t>
            </w:r>
          </w:p>
        </w:tc>
        <w:tc>
          <w:tcPr>
            <w:tcW w:w="645" w:type="dxa"/>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blCellSpacing w:w="0" w:type="dxa"/>
        </w:trPr>
        <w:tc>
          <w:tcPr>
            <w:tcW w:w="645"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0 </w:t>
            </w:r>
          </w:p>
        </w:tc>
        <w:tc>
          <w:tcPr>
            <w:tcW w:w="64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pPr>
            <w: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五、存在的主要问题及改进情况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rPr>
          <w:rFonts w:hint="eastAsia" w:ascii="微软雅黑" w:hAnsi="微软雅黑" w:eastAsia="微软雅黑" w:cs="微软雅黑"/>
          <w:i w:val="0"/>
          <w:iCs w:val="0"/>
          <w:caps w:val="0"/>
          <w:color w:val="333333"/>
          <w:spacing w:val="0"/>
          <w:sz w:val="25"/>
          <w:szCs w:val="25"/>
          <w:shd w:val="clear" w:fill="FFFFFF"/>
        </w:rPr>
      </w:pPr>
      <w:r>
        <w:rPr>
          <w:rFonts w:hint="eastAsia" w:ascii="微软雅黑" w:hAnsi="微软雅黑" w:eastAsia="微软雅黑" w:cs="微软雅黑"/>
          <w:i w:val="0"/>
          <w:iCs w:val="0"/>
          <w:caps w:val="0"/>
          <w:color w:val="333333"/>
          <w:spacing w:val="0"/>
          <w:sz w:val="25"/>
          <w:szCs w:val="25"/>
          <w:shd w:val="clear" w:fill="FFFFFF"/>
        </w:rPr>
        <w:t>202</w:t>
      </w:r>
      <w:r>
        <w:rPr>
          <w:rFonts w:hint="eastAsia" w:ascii="微软雅黑" w:hAnsi="微软雅黑" w:eastAsia="微软雅黑" w:cs="微软雅黑"/>
          <w:i w:val="0"/>
          <w:iCs w:val="0"/>
          <w:caps w:val="0"/>
          <w:color w:val="333333"/>
          <w:spacing w:val="0"/>
          <w:sz w:val="25"/>
          <w:szCs w:val="25"/>
          <w:shd w:val="clear" w:fill="FFFFFF"/>
          <w:lang w:val="en-US" w:eastAsia="zh-CN"/>
        </w:rPr>
        <w:t>1</w:t>
      </w:r>
      <w:r>
        <w:rPr>
          <w:rFonts w:hint="eastAsia" w:ascii="微软雅黑" w:hAnsi="微软雅黑" w:eastAsia="微软雅黑" w:cs="微软雅黑"/>
          <w:i w:val="0"/>
          <w:iCs w:val="0"/>
          <w:caps w:val="0"/>
          <w:color w:val="333333"/>
          <w:spacing w:val="0"/>
          <w:sz w:val="25"/>
          <w:szCs w:val="25"/>
          <w:shd w:val="clear" w:fill="FFFFFF"/>
        </w:rPr>
        <w:t>年，我镇政府信息公开工作取得一定成效的同时，也存在一定不足：一是认识有待于进一步提高，主动性不够；二是制度落实不够到位；三是信息公开的质量不高，数量不多，栏目单调。下步，我镇将结合自身职能特点认真贯彻落实上级要求，从实际出发，不断改进政府信息公开方式，确保较好的完成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六、其他需要报告的事项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55" w:lineRule="atLeast"/>
        <w:ind w:left="0" w:right="0" w:firstLine="420"/>
        <w:jc w:val="left"/>
      </w:pPr>
      <w:r>
        <w:rPr>
          <w:rFonts w:hint="eastAsia" w:ascii="微软雅黑" w:hAnsi="微软雅黑" w:eastAsia="微软雅黑" w:cs="微软雅黑"/>
          <w:i w:val="0"/>
          <w:iCs w:val="0"/>
          <w:caps w:val="0"/>
          <w:color w:val="333333"/>
          <w:spacing w:val="0"/>
          <w:sz w:val="25"/>
          <w:szCs w:val="25"/>
          <w:shd w:val="clear" w:fill="FFFFFF"/>
        </w:rPr>
        <w:t>本年度没有其他需要报告的事项。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807766"/>
    <w:rsid w:val="54807766"/>
    <w:rsid w:val="64564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2022-01-20T07:12:00Z</dcterms:created>
  <dc:creator>三生有幸</dc:creator>
  <cp:lastModifiedBy>三生有幸</cp:lastModifiedBy>
  <dcterms:modified xsi:type="dcterms:W3CDTF">2022-01-20T07:45:51Z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F8C489C3CF0C435E9AD88CD19DE93D80</vt:lpwstr>
  </property>
</Properties>
</file>