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default" w:ascii="Times New Roman" w:hAnsi="Times New Roman" w:eastAsia="方正小标宋简体" w:cs="Times New Roman"/>
          <w:sz w:val="44"/>
          <w:szCs w:val="40"/>
        </w:rPr>
      </w:pPr>
      <w:r>
        <w:rPr>
          <w:rFonts w:hint="eastAsia" w:ascii="Times New Roman" w:hAnsi="Times New Roman" w:eastAsia="方正小标宋简体" w:cs="Times New Roman"/>
          <w:sz w:val="44"/>
          <w:szCs w:val="40"/>
          <w:lang w:eastAsia="zh-CN"/>
        </w:rPr>
        <w:t>铜鼓县</w:t>
      </w:r>
      <w:r>
        <w:rPr>
          <w:rFonts w:hint="default" w:ascii="Times New Roman" w:hAnsi="Times New Roman" w:eastAsia="方正小标宋简体" w:cs="Times New Roman"/>
          <w:sz w:val="44"/>
          <w:szCs w:val="40"/>
        </w:rPr>
        <w:t>行政许可事项清单（202</w:t>
      </w:r>
      <w:r>
        <w:rPr>
          <w:rFonts w:hint="default" w:ascii="Times New Roman" w:hAnsi="Times New Roman" w:eastAsia="方正小标宋简体" w:cs="Times New Roman"/>
          <w:sz w:val="44"/>
          <w:szCs w:val="40"/>
          <w:lang w:val="en-US" w:eastAsia="zh-CN"/>
        </w:rPr>
        <w:t>3年</w:t>
      </w:r>
      <w:r>
        <w:rPr>
          <w:rFonts w:hint="default" w:ascii="Times New Roman" w:hAnsi="Times New Roman" w:eastAsia="方正小标宋简体" w:cs="Times New Roman"/>
          <w:sz w:val="44"/>
          <w:szCs w:val="40"/>
        </w:rPr>
        <w:t>版）</w:t>
      </w:r>
    </w:p>
    <w:tbl>
      <w:tblPr>
        <w:tblStyle w:val="6"/>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83"/>
        <w:gridCol w:w="1836"/>
        <w:gridCol w:w="1985"/>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序号</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lang w:eastAsia="zh-CN"/>
              </w:rPr>
              <w:t>县级</w:t>
            </w:r>
            <w:r>
              <w:rPr>
                <w:rFonts w:hint="default" w:ascii="Times New Roman" w:hAnsi="Times New Roman" w:eastAsia="黑体" w:cs="Times New Roman"/>
                <w:color w:val="auto"/>
                <w:sz w:val="24"/>
                <w:szCs w:val="24"/>
              </w:rPr>
              <w:t>主管部门</w:t>
            </w:r>
          </w:p>
        </w:tc>
        <w:tc>
          <w:tcPr>
            <w:tcW w:w="183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事项名称</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实施机关</w:t>
            </w:r>
          </w:p>
        </w:tc>
        <w:tc>
          <w:tcPr>
            <w:tcW w:w="29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固定资产投资项目节能审查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《中华人民共和国节约能源法》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《固定资产投资项目节能审查办法》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在电力设施周围或者电力设施保护区内进行可能危及电力设施安全作业审批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《中华人民共和国电力法》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新建不能满足管道保护要求的石油天然气管道防护方案审批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可能影响石油天然气管道保护的施工作业审批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发展改革委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5</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民办、中外合作开办中等及以下学校和其他教育机构筹设审批</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《中华人民共和国民办教育促进法》</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《中华人民共和国中外合作办学条例》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6</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中等及以下学校和其他教育机构设置审批</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《中华人民共和国教育法》</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《中华人民共和国民办教育促进法》</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《中华人民共和国民办教育促进法实施条例》</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《中华人民共和国中外合作办学条例》</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《国务院关于当前发展学前教育的若干意见》（国发〔2010〕41号）</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7</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从事文艺、体育等专业训练的社会组织自行实施义务教育审批</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8</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校车使用许可</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教育体育局会同</w:t>
            </w:r>
            <w:r>
              <w:rPr>
                <w:rFonts w:hint="eastAsia" w:ascii="Times New Roman" w:hAnsi="Times New Roman" w:eastAsia="仿宋_GB2312" w:cs="Times New Roman"/>
                <w:color w:val="auto"/>
                <w:kern w:val="2"/>
                <w:sz w:val="24"/>
                <w:szCs w:val="24"/>
                <w:lang w:val="en-US" w:eastAsia="zh-CN" w:bidi="ar-SA"/>
              </w:rPr>
              <w:t>县公安局</w:t>
            </w:r>
            <w:r>
              <w:rPr>
                <w:rFonts w:hint="default" w:ascii="Times New Roman" w:hAnsi="Times New Roman" w:eastAsia="仿宋_GB2312" w:cs="Times New Roman"/>
                <w:color w:val="auto"/>
                <w:kern w:val="2"/>
                <w:sz w:val="24"/>
                <w:szCs w:val="24"/>
                <w:lang w:val="en-US" w:eastAsia="zh-CN" w:bidi="ar-SA"/>
              </w:rPr>
              <w:t>、</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w:t>
            </w:r>
            <w:r>
              <w:rPr>
                <w:rFonts w:hint="eastAsia" w:ascii="Times New Roman" w:hAnsi="Times New Roman" w:eastAsia="仿宋_GB2312" w:cs="Times New Roman"/>
                <w:color w:val="auto"/>
                <w:kern w:val="2"/>
                <w:sz w:val="24"/>
                <w:szCs w:val="24"/>
                <w:lang w:val="en-US" w:eastAsia="zh-CN" w:bidi="ar-SA"/>
              </w:rPr>
              <w:t>局</w:t>
            </w:r>
            <w:r>
              <w:rPr>
                <w:rFonts w:hint="default" w:ascii="Times New Roman" w:hAnsi="Times New Roman" w:eastAsia="仿宋_GB2312" w:cs="Times New Roman"/>
                <w:color w:val="auto"/>
                <w:kern w:val="2"/>
                <w:sz w:val="24"/>
                <w:szCs w:val="24"/>
                <w:lang w:val="en-US" w:eastAsia="zh-CN" w:bidi="ar-SA"/>
              </w:rPr>
              <w:t>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cs="Times New Roman"/>
                <w:color w:val="auto"/>
                <w:sz w:val="24"/>
                <w:szCs w:val="24"/>
                <w:lang w:val="en-US" w:eastAsia="zh-CN"/>
              </w:rPr>
              <w:t>9</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教师资格认定</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《中华人民共和国教师法》</w:t>
            </w:r>
          </w:p>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《教师资格条例》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128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适龄儿童、少年因身体状况需要延缓入学或者休学审批</w:t>
            </w:r>
          </w:p>
        </w:tc>
        <w:tc>
          <w:tcPr>
            <w:tcW w:w="1985"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教育体育局；乡镇政府</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strike w:val="0"/>
                <w:dstrike w:val="0"/>
                <w:color w:val="auto"/>
                <w:sz w:val="24"/>
                <w:szCs w:val="24"/>
                <w:lang w:val="en-US" w:eastAsia="zh-CN"/>
              </w:rPr>
            </w:pPr>
            <w:r>
              <w:rPr>
                <w:rFonts w:hint="default" w:ascii="Times New Roman" w:hAnsi="Times New Roman" w:cs="Times New Roman"/>
                <w:strike w:val="0"/>
                <w:dstrike w:val="0"/>
                <w:color w:val="auto"/>
                <w:sz w:val="24"/>
                <w:szCs w:val="24"/>
              </w:rPr>
              <w:t>1</w:t>
            </w:r>
            <w:r>
              <w:rPr>
                <w:rFonts w:hint="eastAsia" w:ascii="Times New Roman" w:hAnsi="Times New Roman" w:cs="Times New Roman"/>
                <w:strike w:val="0"/>
                <w:dstrike w:val="0"/>
                <w:color w:val="auto"/>
                <w:sz w:val="24"/>
                <w:szCs w:val="24"/>
                <w:lang w:val="en-US" w:eastAsia="zh-CN"/>
              </w:rPr>
              <w:t>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举办健身气功活动及设立站点审批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《健身气功管理办法》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strike w:val="0"/>
                <w:dstrike w:val="0"/>
                <w:color w:val="auto"/>
                <w:sz w:val="24"/>
                <w:szCs w:val="24"/>
                <w:lang w:val="en-US" w:eastAsia="zh-CN"/>
              </w:rPr>
            </w:pPr>
            <w:r>
              <w:rPr>
                <w:rFonts w:hint="default" w:ascii="Times New Roman" w:hAnsi="Times New Roman" w:cs="Times New Roman"/>
                <w:strike w:val="0"/>
                <w:dstrike w:val="0"/>
                <w:color w:val="auto"/>
                <w:sz w:val="24"/>
                <w:szCs w:val="24"/>
              </w:rPr>
              <w:t>1</w:t>
            </w:r>
            <w:r>
              <w:rPr>
                <w:rFonts w:hint="eastAsia" w:ascii="Times New Roman" w:hAnsi="Times New Roman" w:cs="Times New Roman"/>
                <w:strike w:val="0"/>
                <w:dstrike w:val="0"/>
                <w:color w:val="auto"/>
                <w:sz w:val="24"/>
                <w:szCs w:val="24"/>
                <w:lang w:val="en-US" w:eastAsia="zh-CN"/>
              </w:rPr>
              <w:t>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高危险性体育项目经营许可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《中华人民共和国体育法》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strike w:val="0"/>
                <w:dstrike w:val="0"/>
                <w:color w:val="auto"/>
                <w:sz w:val="24"/>
                <w:szCs w:val="24"/>
                <w:lang w:val="en-US" w:eastAsia="zh-CN"/>
              </w:rPr>
            </w:pPr>
            <w:r>
              <w:rPr>
                <w:rFonts w:hint="default" w:ascii="Times New Roman" w:hAnsi="Times New Roman" w:cs="Times New Roman"/>
                <w:strike w:val="0"/>
                <w:dstrike w:val="0"/>
                <w:color w:val="auto"/>
                <w:sz w:val="24"/>
                <w:szCs w:val="24"/>
              </w:rPr>
              <w:t>1</w:t>
            </w:r>
            <w:r>
              <w:rPr>
                <w:rFonts w:hint="eastAsia" w:ascii="Times New Roman" w:hAnsi="Times New Roman" w:cs="Times New Roman"/>
                <w:strike w:val="0"/>
                <w:dstrike w:val="0"/>
                <w:color w:val="auto"/>
                <w:sz w:val="24"/>
                <w:szCs w:val="24"/>
                <w:lang w:val="en-US" w:eastAsia="zh-CN"/>
              </w:rPr>
              <w:t>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临时占用公共体育场地设施审批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举办高危险性体育赛事活动许可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教育体育局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0000FF"/>
                <w:sz w:val="24"/>
                <w:szCs w:val="24"/>
                <w:lang w:val="en-US"/>
              </w:rPr>
            </w:pPr>
            <w:r>
              <w:rPr>
                <w:rFonts w:hint="eastAsia" w:ascii="Times New Roman" w:hAnsi="Times New Roman" w:eastAsia="仿宋_GB2312" w:cs="Times New Roman"/>
                <w:color w:val="auto"/>
                <w:kern w:val="2"/>
                <w:sz w:val="24"/>
                <w:szCs w:val="24"/>
                <w:lang w:val="en-US" w:eastAsia="zh-CN" w:bidi="ar-SA"/>
              </w:rPr>
              <w:t>15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工业和信息化局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固定资产投资项目节能审查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工业和信息化局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《中华人民共和国节约能源法》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《固定资产投资项目节能审查办法》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民用枪支及枪支主要零部件、弹药配置许可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举行集会游行示威许可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《中华人民共和国集会游行示威法》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大型群众性活动安全许可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《中华人民共和国消防法》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公章刻制业特种行业许可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《印铸刻字业暂行管理规则》</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旅馆业特种行业许可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《旅馆业治安管理办法》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互联网上网服务营业场所信息网络安全审核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举办焰火晚会及其他大型焰火燃放活动许可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《公安部办公厅关于贯彻执行</w:t>
            </w:r>
            <w:r>
              <w:rPr>
                <w:rFonts w:hint="eastAsia" w:ascii="Times New Roman" w:hAnsi="Times New Roman" w:eastAsia="仿宋_GB2312" w:cs="Times New Roman"/>
                <w:color w:val="auto"/>
                <w:kern w:val="2"/>
                <w:sz w:val="24"/>
                <w:szCs w:val="24"/>
                <w:lang w:val="en-US" w:eastAsia="zh-CN" w:bidi="ar-SA"/>
              </w:rPr>
              <w:t>&lt;</w:t>
            </w:r>
            <w:r>
              <w:rPr>
                <w:rFonts w:hint="default" w:ascii="Times New Roman" w:hAnsi="Times New Roman" w:eastAsia="仿宋_GB2312" w:cs="Times New Roman"/>
                <w:color w:val="auto"/>
                <w:kern w:val="2"/>
                <w:sz w:val="24"/>
                <w:szCs w:val="24"/>
                <w:lang w:val="en-US" w:eastAsia="zh-CN" w:bidi="ar-SA"/>
              </w:rPr>
              <w:t>大型焰火燃放作业人员资格条件及管理</w:t>
            </w:r>
            <w:r>
              <w:rPr>
                <w:rFonts w:hint="eastAsia" w:ascii="Times New Roman" w:hAnsi="Times New Roman" w:eastAsia="仿宋_GB2312" w:cs="Times New Roman"/>
                <w:color w:val="auto"/>
                <w:kern w:val="2"/>
                <w:sz w:val="24"/>
                <w:szCs w:val="24"/>
                <w:lang w:val="en-US" w:eastAsia="zh-CN" w:bidi="ar-SA"/>
              </w:rPr>
              <w:t>&gt;</w:t>
            </w:r>
            <w:r>
              <w:rPr>
                <w:rFonts w:hint="default" w:ascii="Times New Roman" w:hAnsi="Times New Roman" w:eastAsia="仿宋_GB2312" w:cs="Times New Roman"/>
                <w:color w:val="auto"/>
                <w:kern w:val="2"/>
                <w:sz w:val="24"/>
                <w:szCs w:val="24"/>
                <w:lang w:val="en-US" w:eastAsia="zh-CN" w:bidi="ar-SA"/>
              </w:rPr>
              <w:t>和</w:t>
            </w:r>
            <w:r>
              <w:rPr>
                <w:rFonts w:hint="eastAsia" w:ascii="Times New Roman" w:hAnsi="Times New Roman" w:eastAsia="仿宋_GB2312" w:cs="Times New Roman"/>
                <w:color w:val="auto"/>
                <w:kern w:val="2"/>
                <w:sz w:val="24"/>
                <w:szCs w:val="24"/>
                <w:lang w:val="en-US" w:eastAsia="zh-CN" w:bidi="ar-SA"/>
              </w:rPr>
              <w:t>&lt;</w:t>
            </w:r>
            <w:r>
              <w:rPr>
                <w:rFonts w:hint="default" w:ascii="Times New Roman" w:hAnsi="Times New Roman" w:eastAsia="仿宋_GB2312" w:cs="Times New Roman"/>
                <w:color w:val="auto"/>
                <w:kern w:val="2"/>
                <w:sz w:val="24"/>
                <w:szCs w:val="24"/>
                <w:lang w:val="en-US" w:eastAsia="zh-CN" w:bidi="ar-SA"/>
              </w:rPr>
              <w:t>大型焰火燃放作业单位资质条件及管理</w:t>
            </w:r>
            <w:r>
              <w:rPr>
                <w:rFonts w:hint="eastAsia" w:ascii="Times New Roman" w:hAnsi="Times New Roman" w:eastAsia="仿宋_GB2312" w:cs="Times New Roman"/>
                <w:color w:val="auto"/>
                <w:kern w:val="2"/>
                <w:sz w:val="24"/>
                <w:szCs w:val="24"/>
                <w:lang w:val="en-US" w:eastAsia="zh-CN" w:bidi="ar-SA"/>
              </w:rPr>
              <w:t>&gt;</w:t>
            </w:r>
            <w:r>
              <w:rPr>
                <w:rFonts w:hint="default" w:ascii="Times New Roman" w:hAnsi="Times New Roman" w:eastAsia="仿宋_GB2312" w:cs="Times New Roman"/>
                <w:color w:val="auto"/>
                <w:kern w:val="2"/>
                <w:sz w:val="24"/>
                <w:szCs w:val="24"/>
                <w:lang w:val="en-US" w:eastAsia="zh-CN" w:bidi="ar-SA"/>
              </w:rPr>
              <w:t>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烟花爆竹道路运输许可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公安局（运达地或者启运地）</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民用爆炸物品购买许可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民用爆炸物品运输许可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公安局（运达地）</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剧毒化学品购买许可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剧毒化学品道路运输通行许可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《剧毒化学品购买和公路运输许可证件管理办法》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放射性物品道路运输许可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《中华人民共和国核安全法》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运输危险化学品的车辆进入危险化学品运输车辆限制通行区域审批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易制毒化学品购买许可（除第一类中的药品类易制毒化学品外）</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《中华人民共和国禁毒法》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易制毒化学品运输许可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《中华人民共和国禁毒法》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金融机构营业场所和金库安全防范设施建设方案审批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《金融机构营业场所和金库安全防范设施建设许可实施办法》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金融机构营业场所和金库安全防范设施建设工程验收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《金融机构营业场所和金库安全防范设施建设许可实施办法》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机动车临时通行牌证核发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机动车检验合格标志核发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机动车驾驶证核发、审验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《机动车驾驶证申领和使用规定》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校车驾驶资格许可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《校车安全管理条例》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《机动车驾驶证申领和使用规定》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非机动车登记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涉路施工交通安全审查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户口迁移审批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犬类准养证核发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《中华人民共和国动物防疫法》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普通护照签发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公安局（受国家移民局委托实施）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出入境通行证签发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公安局（受国家移民局委托实施）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《中华人民共和国护照法》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内地居民前往港澳通行证、往来港澳通行证及签注签发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公安局（受中华人民共和国出入境管理局委托实施）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港澳居民来往内地通行证签发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公安局（受中华人民共和国出入境管理局委托实施）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大陆居民往来台湾通行证及签注签发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公安局（受中华人民共和国出入境管理局委托实施）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台湾居民来往大陆通行证签发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公安局（受中华人民共和国出入境管理局委托实施）</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49</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社会团体成立、变更、注销登记及修改章程核准</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民政局（实行登记管理机关和业务主管单位双重负责管理体制的，由有关业务主管单位实施前置审查）</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50</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民办非企业单位成立、变更、注销登记及修改章程核准</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民政局（实行登记管理机关和业务主管单位双重负责管理体制的，由有关业务主管单位实施前置审查）</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51</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宗教活动场所法人成立、变更、注销登记</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民政局（由县级宗教部门实施前置审查）</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52</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慈善组织公开募捐资格审批</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291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殡葬设施建设审批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民政局承办）；</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地名命名、更名审批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民政局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县财政局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中介机构从事代理记账业务审批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县财政局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职业培训学校筹设审批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《中华人民共和国民办教育促进法》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职业培训学校办学许可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《中华人民共和国民办教育促进法》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人力资源服务许可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《中华人民共和国就业促进法》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劳务派遣经营许可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《中华人民共和国劳动合同法》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《劳务派遣行政许可实施办法》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企业实行不定时工作制和综合计算工时工作制审批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人力资源社会保障局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《中华人民共和国劳动法》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开采矿产资源审批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《中华人民共和国矿产资源法》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《中华人民共和国矿产资源法实施细则》</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法人或者其他组织需要利用属于国家秘密的基础测绘成果审批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《中华人民共和国测绘成果管理条例》</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《基础测绘成果提供使用管理暂行办法》（国测法字〔2006〕13号）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建设项目用地预审与选址意见书核发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《中华人民共和国城乡规划法》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《中华人民共和国土地管理法》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《中华人民共和国土地管理法实施条例》</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《建设项目用地预审管理办法》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国有建设用地使用权出让后土地使用权分割转让批准</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乡（镇）村企业使用集体建设用地审批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乡（镇）村公共设施、公益事业使用集体建设用地审批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临时用地审批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建设用地、临时建设用地规划许可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开发未确定使用权的国有荒山、荒地、荒滩从事生产审查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《中华人民共和国土地管理法》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70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建设工程、临时建设工程规划许可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0000FF"/>
                <w:sz w:val="24"/>
                <w:szCs w:val="24"/>
                <w:lang w:val="en-US" w:eastAsia="zh-CN"/>
              </w:rPr>
            </w:pPr>
            <w:r>
              <w:rPr>
                <w:rFonts w:hint="eastAsia" w:ascii="Times New Roman" w:hAnsi="Times New Roman" w:cs="Times New Roman"/>
                <w:color w:val="auto"/>
                <w:sz w:val="24"/>
                <w:szCs w:val="24"/>
                <w:lang w:val="en-US" w:eastAsia="zh-CN"/>
              </w:rPr>
              <w:t>71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乡村建设规划许可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自然资源局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一般建设项目环境影响评价审批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《中华人民共和国环境保护法》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《中华人民共和国环境影响评价法》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《中华人民共和国大气污染防治法》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《中华人民共和国土壤污染防治法》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《中华人民共和国固体废物污染环境防治法》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《中华人民共和国噪声污染防治法》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核与辐射类建设项目环境影响评价审批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《中华人民共和国环境保护法》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《中华人民共和国环境影响评价法》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《中华人民共和国放射性污染防治法》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《中华人民共和国核安全法》</w:t>
            </w:r>
            <w:r>
              <w:rPr>
                <w:rFonts w:hint="default" w:ascii="Times New Roman" w:hAnsi="Times New Roman" w:eastAsia="仿宋_GB2312" w:cs="Times New Roman"/>
                <w:color w:val="auto"/>
                <w:kern w:val="2"/>
                <w:sz w:val="24"/>
                <w:szCs w:val="24"/>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江河、湖泊新建、改建或者扩大排污口审批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《中华人民共和国长江保护法》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危险废物经营许可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《中华人民共和国固体废物污染环境防治法》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放射性核素排放许可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生态环境局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建筑工程施工许可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《中华人民共和国建筑法》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商品房预售许可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79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历史建筑实施原址保护审批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历史文化街区、名镇、名村核心保护范围内拆除历史建筑以外的建筑物、构筑物或者其他设施审批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历史建筑外部修缮装饰、添加设施以及改变历史建筑的结构或者使用性质审批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建设工程消防设计审查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《中华人民共和国消防法》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建设工程消防验收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《中华人民共和国消防法》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在村庄、集镇规划区内公共场所修建临时建筑等设施审批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乡级政府</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建筑起重机械使用登记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《中华人民共和国特种设备安全法》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86</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关闭、闲置、拆除城市环境卫生设施许可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87</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拆除环境卫生设施许可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88</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从事城市生活垃圾经营性清扫、收集、运输、处理服务审批</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89</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城市建筑垃圾处置核准</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90</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城镇污水排入排水管网许可</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91</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拆除、改动、迁移城市公共供水设施审核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92</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拆除、改动城镇排水与污水处理设施审核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93</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由于工程施工、设备维修等原因确需停止供水的审批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住房和城乡建设局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94</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燃气经营许可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95</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燃气经营者改动市政燃气设施审批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《城镇燃气管理条例》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96</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市政设施建设类审批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县城管局</w:t>
            </w:r>
            <w:r>
              <w:rPr>
                <w:rFonts w:hint="default" w:ascii="Times New Roman" w:hAnsi="Times New Roman" w:eastAsia="仿宋_GB2312" w:cs="Times New Roman"/>
                <w:color w:val="auto"/>
                <w:kern w:val="2"/>
                <w:sz w:val="24"/>
                <w:szCs w:val="24"/>
                <w:lang w:val="en-US" w:eastAsia="zh-CN" w:bidi="ar-SA"/>
              </w:rPr>
              <w:t>承办）；</w:t>
            </w: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97</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特殊车辆在城市道路上行驶审批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98</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改变绿化规划、绿化用地的使用性质审批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99</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工程建设涉及城市绿地、树木审批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100</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设置大型户外广告及在城市建筑物、设施上悬挂、张贴宣传品审批</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101</w:t>
            </w:r>
          </w:p>
        </w:tc>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临时性建筑物搭建、堆放物料、占道施工审批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县城管局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公路建设项目设计文件审批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《建设工程质量管理条例》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《建设工程勘察设计管理条例》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公路建设项目施工许可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《公路建设市场管理办法》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公路建设项目竣工验收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《收费公路管理条例》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《公路工程竣（交）工验收办法》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公路超限运输许可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《公路安全保护条例》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《超限运输车辆行驶公路管理规定》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涉路施工许可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《公路安全保护条例》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更新采伐护路林审批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《公路安全保护条例》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道路旅客运输经营许可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《中华人民共和国道路运输条例》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《道路旅客运输及客运站管理规定》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道路旅客运输站经营许可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《中华人民共和国道路运输条例》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《道路旅客运输及客运站管理规定》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道路货物运输经营许可（除使用4500千克及以下普通货运车辆从事普通货运经营外）</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《中华人民共和国道路运输条例》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出租汽车经营许可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交通运输局或者政府指定部门</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《巡游出租汽车经营服务管理规定》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《网络预约出租汽车经营服务管理暂行办法》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出租汽车车辆运营证核发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交通运输局或者政府指定部门</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《巡游出租汽车经营服务管理规定》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《网络预约出租汽车经营服务管理暂行办法》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港口岸线使用审批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《港口岸线使用审批管理办法》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水运建设项目设计文件审批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《中华人民共和国航道法》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《中华人民共和国航道管理条例》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《建设工程质量管理条例》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《建设工程勘察设计管理条例》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《港口工程建设管理规定》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《航道工程建设管理规定》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水运工程建设项目竣工验收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《中华人民共和国航道法》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《中华人民共和国航道管理条例》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《港口工程建设管理规定》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《航道工程建设管理规定》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危险货物港口建设项目安全设施设计审查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《中华人民共和国安全生产法》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《港口危险货物安全管理规定》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港口采掘、爆破施工作业许可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119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港口内进行危险货物的装卸、过驳作业许可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《中华人民共和国港口法》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《港口危险货物安全管理规定》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在内河通航水域载运、拖带超重、超长、超高、超宽、半潜物体或者拖放竹、木等物体许可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船舶进行散装液体污染危害性货物或者危险货物过驳作业许可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《中华人民共和国水污染防治法》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《中华人民共和国海洋环境保护法》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《中华人民共和国海上交通安全法》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《中华人民共和国内河交通安全管理条例》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《防治船舶污染海洋环境管理条例》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船舶载运污染危害性货物或者危险货物进出港口许可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《中华人民共和国海洋环境保护法》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《中华人民共和国海上交通安全法》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《中华人民共和国内河交通安全管理条例》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《防治船舶污染海洋环境管理条例》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海域或者内河通航水域、岸线施工作业许可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《中华人民共和国海上交通安全法》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设置或者撤销内河渡口审批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县政府（由其指定部门承办）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船员适任证书核发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《中华人民共和国海上交通安全法》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《中华人民共和国船员条例》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占用国防交通控制范围土地审批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《中华人民共和国国防交通法》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城市公共汽（电）车客运经营许可、城市公共汽（电）车线路经营许可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交通运输局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水利基建项目初步设计文件审批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取水许可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洪水影响评价类审批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《中华人民共和国防洪法》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《中华人民共和国河道管理条例》</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河道管理范围内特定活动审批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河道采砂许可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《中华人民共和国长江保护法》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《中华人民共和国河道管理条例》</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生产建设项目水土保持方案审批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农村集体经济组织修建水库审批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城市建设填堵水域、废除围堤审批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占用农业灌溉水源、灌排工程设施审批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利用堤顶、戗台兼做公路审批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坝顶兼做公路审批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蓄滞洪区避洪设施建设审批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140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大坝管理和保护范围内修建码头、渔塘许可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水利工程管理范围内工程建设项目方案审批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《江西省水利工程条例》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在河道堤防背水面保护区外500米内进行地下采矿许可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利用水闸工作桥兼做公路审批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水利局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《江西省水利工程条例》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农药经营许可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兽药经营许可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农作物种子生产经营许可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《中华人民共和国种子法》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《农业转基因生物安全管理条例》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《农作物种子生产经营许可管理办法》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食用菌菌种生产经营许可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农业农村局（受理省农业农村厅事权事项）；</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《中华人民共和国种子法》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使用低于国家或地方规定的种用标准的农作物种子审批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种畜禽生产经营许可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《中华人民共和国畜牧法》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《农业转基因生物安全管理条例》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蚕种生产经营许可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市</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农业农村局（受理省农业农村厅事权事项）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《中华人民共和国畜牧法》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《蚕种管理办法》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农业植物检疫证书核发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农业植物产地检疫合格证签发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农业野生植物采集、出售、收购、野外考察审批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农业农村局（受理采集国家二级保护野生植物的省农业农村厅或者其授权机构事权事项）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动物及动物产品检疫合格证核发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《中华人民共和国动物防疫法》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动物防疫条件合格证核发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《中华人民共和国动物防疫法》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《动物防疫条件审查办法》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向无规定动物疫病区输入易感动物、动物产品的检疫审批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《中华人民共和国动物防疫法》</w:t>
            </w:r>
            <w:r>
              <w:rPr>
                <w:rFonts w:hint="eastAsia" w:ascii="Times New Roman" w:hAnsi="Times New Roman" w:eastAsia="仿宋_GB2312" w:cs="Times New Roman"/>
                <w:color w:val="auto"/>
                <w:kern w:val="2"/>
                <w:sz w:val="24"/>
                <w:szCs w:val="24"/>
                <w:lang w:val="en-US" w:eastAsia="zh-CN" w:bidi="ar-SA"/>
              </w:rPr>
              <w:br w:type="textWrapping"/>
            </w:r>
            <w:r>
              <w:rPr>
                <w:rFonts w:hint="eastAsia" w:ascii="Times New Roman" w:hAnsi="Times New Roman" w:eastAsia="仿宋_GB2312" w:cs="Times New Roman"/>
                <w:color w:val="auto"/>
                <w:kern w:val="2"/>
                <w:sz w:val="24"/>
                <w:szCs w:val="24"/>
                <w:lang w:val="en-US" w:eastAsia="zh-CN" w:bidi="ar-SA"/>
              </w:rPr>
              <w:t>《动物检疫管理办法》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动物诊疗许可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《中华人民共和国动物防疫法》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《动物诊疗机构管理办法》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生鲜乳收购站许可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159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生鲜乳准运证明核发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拖拉机和联合收割机驾驶证核发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拖拉机和联合收割机登记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《中华人民共和国道路交通安全法》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工商企业等社会资本通过流转取得土地经营权审批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县级、乡镇政府（由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《中华人民共和国农村土地承包法》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农村村民宅基地审批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乡镇政府</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164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渔业船舶船员证书核发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《中华人民共和国渔港水域交通安全管理条例》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《中华人民共和国渔业船员管理办法》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165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水产苗种生产经营审批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《水产苗种管理办法》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水域滩涂养殖证核发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渔业船网工具指标审批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《渔业捕捞许可管理规定》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渔业捕捞许可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《中华人民共和国渔业法实施细则》</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《渔业捕捞许可管理规定》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169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专用航标的设置、撤除、位置移动和其他状况改变审批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《中华人民共和国航标条例》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《渔业航标管理办法》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170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渔业船舶国籍登记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农业农村局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《中华人民共和国船舶登记条例》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《中华人民共和国渔港水域交通安全管理条例》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《中华人民共和国渔业船舶登记办法》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171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文艺表演团体设立审批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172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营业性演出审批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《营业性演出管理条例》《营业性演出管理条例实施细则》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173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娱乐场所经营活动审批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174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互联网上网服务营业场所筹建审批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175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互联网上网服务经营活动审批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176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建设工程文物保护许可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文化广电新闻出版旅游局承办，征得上一级文物部门同意）；</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177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文物保护单位原址保护措施审批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178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核定为文物保护单位的属于国家所有的纪念建筑物或者古建筑改变用途审批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文化广电新闻出版旅游局承办，征得市文化广电新闻出版旅游局同意）</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179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不可移动文物修缮审批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非国有文物收藏单位和其他单位借用国有馆藏文物审批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博物馆处理不够入藏标准、无保存价值的文物或标本审批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182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广播电视专用频段频率使用许可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文化广电新闻出版旅游局（受理广电总局事权事项并逐级上报）</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183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广播电台、电视台设立、终止审批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文化广电新闻出版旅游局（受理广电总局广播电台、电视台设立、终止事权事项并逐级上报）</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184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广播电台、电视台变更台名、台标、节目设置范围或节目套数审批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 xml:space="preserve">文化广电新闻出版旅游局（受理广电总局事权事项并逐级上报） </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乡镇设立广播电视站和机关、部队、团体、企业事业单位设立有线广播电视站审批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文化广电新闻出版旅游局（初审省广电局事权事项）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《广播电视站审批管理暂行规定》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有线广播电视传输覆盖网工程验收审核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187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广播电视视频点播业务审批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文化广电新闻出版旅游局（受理省广电局事权事项并逐级上报）</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《广播电视视频点播业务管理办法》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188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卫星电视广播地面接收设施安装服务许可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文化广电新闻出版旅游局（初审省广电局事权事项）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《卫星电视广播地面接收设施管理规定》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《卫星电视广播地面接收设施安装服务暂行办法》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189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设置卫星电视广播地面接收设施审批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文化广电新闻出版旅游局（初审省广电局事权事项）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《广播电视管理条例》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出版物零售业务经营许可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电影放映单位设立审批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文化广电新闻出版旅游局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《中华人民共和国电影产业促进法》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《电影管理条例》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《外商投资电影院暂行规定》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饮用水供水单位卫生许可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公共场所卫生许可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医疗机构建设项目放射性职业病危害预评价报告审核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《中华人民共和国职业病防治法》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医疗机构建设项目放射性职业病防护设施竣工验收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《中华人民共和国职业病防治法》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医疗机构设置审批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197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医疗机构执业登记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198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母婴保健技术服务机构执业许可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《中华人民共和国母婴保健法》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《中华人民共和国母婴保健法实施办法》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《母婴保健专项技术服务许可及人员资格管理办法》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199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放射源诊疗技术和医用辐射机构许可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《放射性同位素与射线装置安全和防护条例》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单采血浆站设置审批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卫生健康委（初审省卫生健康委事权事项）</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医师执业注册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《中华人民共和国医师法》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《医师执业注册管理办法》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乡村医生执业注册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母婴保健服务人员资格认定</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《中华人民共和国母婴保健法》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《中华人民共和国母婴保健法实施办法》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《母婴保健专项技术服务许可及人员资格管理办法》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护士执业注册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《护士条例》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确有专长的中医医师资格认定</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卫生健康委（受理省中医药局事权事项并逐级上报）</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《中华人民共和国中医药法》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确有专长的中医医师执业注册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《中华人民共和国中医药法》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中医医疗机构设置审批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《中华人民共和国中医药法》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中医医疗机构执业登记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卫生健康委</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《中华人民共和国中医药法》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209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石油天然气建设项目安全设施设计审查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《中华人民共和国安全生产法》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《建设项目安全设施“三同时”监督管理办法》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金属冶炼建设项目安全设施设计审查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《中华人民共和国安全生产法》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《建设项目安全设施“三同时”监督管理办法》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《冶金企业和有色金属企业安全生产规定》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生产、储存烟花爆竹建设项目安全设施设计审查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《中华人民共和国安全生产法》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《建设项目安全设施“三同时”监督管理办法》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《烟花爆竹安全管理条例》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《烟花爆竹经营许可实施办法》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214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矿山建设项目安全设施设计审查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应急管理局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《中华人民共和国安全生产法》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《煤矿安全监察条例》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《煤矿建设项目安全设施监察规定》</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《建设项目安全设施“三同时”监督管理办法》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《国家安全监管总局办公厅关于切实做好国家取消和下放投资审批有关建设项目安全监管工作的通知》（安监总厅政法〔2013〕120号）</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《国家安全监管总局办公厅关于明确非煤矿山建设项目安全监管职责等事项的通知》（安监总厅管一〔2013〕143号）</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食品生产许可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《中华人民共和国食品安全法》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《食品生产许可管理办法》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食品添加剂生产许可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《中华人民共和国食品安全法》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《食品生产许可管理办法》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217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《中华人民共和国食品安全法》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特种设备安全管理和作业人员资格认定</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《中华人民共和国特种设备安全法》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《特种设备安全监察条例》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《特种设备作业人员监督管理办法》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计量标准器具核准</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《中华人民共和国计量法》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《中华人民共和国计量法实施细则》</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《计量标准考核办法》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承担国家法定计量检定机构任务授权</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《中华人民共和国计量法》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221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企业登记注册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《中华人民共和国公司法》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《中华人民共和国合伙企业法》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《中华人民共和国个人独资企业法》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《中华人民共和国外商投资法》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《中华人民共和国外商投资法实施条例》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《中华人民共和国市场主体登记管理条例实施细则》</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《江西省股份合作企业条例》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个体工商户登记注册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《促进个体工商户发展条例》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农民专业合作社登记注册</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《中华人民共和国农民专业合作社法》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食品小作坊、小餐饮、小食杂店登记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市场监管局及其派出机构</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《江西省食品小作坊小餐饮小食杂店小摊贩管理条例》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药品零售企业筹建审批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《中华人民共和国药品管理法》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药品零售企业经营许可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《中华人民共和国药品管理法》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科研和教学用毒性药品购买审批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市场监管局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228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宗教活动场所筹备设立审批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由县</w:t>
            </w:r>
            <w:r>
              <w:rPr>
                <w:rFonts w:hint="eastAsia" w:ascii="Times New Roman" w:hAnsi="Times New Roman" w:eastAsia="仿宋_GB2312" w:cs="Times New Roman"/>
                <w:color w:val="auto"/>
                <w:sz w:val="24"/>
                <w:szCs w:val="24"/>
                <w:lang w:eastAsia="zh-CN"/>
              </w:rPr>
              <w:t>民宗局</w:t>
            </w:r>
            <w:r>
              <w:rPr>
                <w:rFonts w:hint="default" w:ascii="Times New Roman" w:hAnsi="Times New Roman" w:eastAsia="仿宋_GB2312" w:cs="Times New Roman"/>
                <w:color w:val="auto"/>
                <w:sz w:val="24"/>
                <w:szCs w:val="24"/>
              </w:rPr>
              <w:t>初审</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宗教活动场所设立、变更、注销登记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宗教活动场所内改建或者新建建筑物许可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231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宗教临时活动地点审批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宗教团体、宗教院校、宗教活动场所接受境外捐赠审批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民宗局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233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eastAsia="zh-CN"/>
              </w:rPr>
              <w:t>县</w:t>
            </w:r>
            <w:r>
              <w:rPr>
                <w:rFonts w:hint="default" w:ascii="Times New Roman" w:hAnsi="Times New Roman" w:eastAsia="仿宋_GB2312" w:cs="Times New Roman"/>
                <w:color w:val="auto"/>
                <w:sz w:val="24"/>
                <w:szCs w:val="24"/>
              </w:rPr>
              <w:t>政府侨务办</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华侨回国定居审批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由政府侨务办初审</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《中华人民共和国出境入境管理法》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《华侨回国定居办理工作规定》（国侨发〔2013〕18号）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林草种子生产经营许可证核发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林草植物检疫证书核发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建设项目使用林地及在森林和野生动物类型国家级自然保护区建设审批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《中华人民共和国森林法》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《中华人民共和国森林法实施条例》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建设项目使用草原审批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38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林木采伐许可证核发</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《中华人民共和国森林法》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239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从事营利性治沙活动许可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240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进入自然保护区从事有关活动审批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《中华人民共和国自然保护区条例》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241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猎捕陆生野生动物审批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《中华人民共和国野生动物保护法》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242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森林草原防火期内在森林草原防火区野外用火审批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《森林防火条例》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243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森林草原防火期内在森林草原防火区爆破、勘察和施工等活动审批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《森林防火条例》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244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进入森林高火险区、草原防火管制区审批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林业局承办）；</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《森林防火条例》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245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工商企业等社会资本通过流转取得林地经营权审批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246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湿地征占用审批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《江西省湿地保护条例》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《江西省人民代表大会常务委员会关于加强城市规划区湿地保护的决议》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247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古树名木迁移审核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县政府（由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林业局承办）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《江西省古树名木保护条例》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248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森林资源转让审批或审核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《江西省森林资源转让条例》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249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人工繁育、出售、利用省重点保护陆生野生动物许可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部分由</w:t>
            </w: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林业局</w:t>
            </w:r>
            <w:r>
              <w:rPr>
                <w:rFonts w:hint="default" w:ascii="Times New Roman" w:hAnsi="Times New Roman" w:eastAsia="仿宋_GB2312" w:cs="Times New Roman"/>
                <w:color w:val="auto"/>
                <w:sz w:val="24"/>
                <w:szCs w:val="24"/>
              </w:rPr>
              <w:t>初审</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《江西省实施&lt;中华人民共和国野生动物保护法&gt;办法》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档案局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延期移交档案审批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档案局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251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事业单位登记管理局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事业单位登记</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事业单位登记管理局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《事业单位登记管理暂行条例》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auto"/>
                <w:sz w:val="24"/>
                <w:szCs w:val="24"/>
                <w:lang w:val="en-US" w:eastAsia="zh-CN"/>
              </w:rPr>
              <w:t>252</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应建防空地下室的民用建筑项目报建审批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《中共中央 国务院 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253</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拆除人民防空工程审批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254</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单独修建的人民防空工程报建审批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《江西省实施〈中华人民共和国人民防空法〉办法》</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《江西省人民防空工程管理办法》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255</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在人民防空工程安全使用范围内埋设地下管线或修建地面设施审批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县国动办</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《江西省实施〈中华人民共和国人民防空法〉办法》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256</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税务局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增值税防伪税控系统最高开票限额审批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税务局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257</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消防救援</w:t>
            </w:r>
            <w:r>
              <w:rPr>
                <w:rFonts w:hint="eastAsia" w:ascii="Times New Roman" w:hAnsi="Times New Roman" w:eastAsia="仿宋_GB2312" w:cs="Times New Roman"/>
                <w:color w:val="auto"/>
                <w:kern w:val="2"/>
                <w:sz w:val="24"/>
                <w:szCs w:val="24"/>
                <w:lang w:val="en-US" w:eastAsia="zh-CN" w:bidi="ar-SA"/>
              </w:rPr>
              <w:t>大</w:t>
            </w:r>
            <w:r>
              <w:rPr>
                <w:rFonts w:hint="default" w:ascii="Times New Roman" w:hAnsi="Times New Roman" w:eastAsia="仿宋_GB2312" w:cs="Times New Roman"/>
                <w:color w:val="auto"/>
                <w:kern w:val="2"/>
                <w:sz w:val="24"/>
                <w:szCs w:val="24"/>
                <w:lang w:val="en-US" w:eastAsia="zh-CN" w:bidi="ar-SA"/>
              </w:rPr>
              <w:t>队</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公众聚集场所投入使用、营业前消防安全检查</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消防救援</w:t>
            </w:r>
            <w:r>
              <w:rPr>
                <w:rFonts w:hint="eastAsia" w:ascii="Times New Roman" w:hAnsi="Times New Roman" w:eastAsia="仿宋_GB2312" w:cs="Times New Roman"/>
                <w:color w:val="auto"/>
                <w:kern w:val="2"/>
                <w:sz w:val="24"/>
                <w:szCs w:val="24"/>
                <w:lang w:val="en-US" w:eastAsia="zh-CN" w:bidi="ar-SA"/>
              </w:rPr>
              <w:t>大</w:t>
            </w:r>
            <w:r>
              <w:rPr>
                <w:rFonts w:hint="default" w:ascii="Times New Roman" w:hAnsi="Times New Roman" w:eastAsia="仿宋_GB2312" w:cs="Times New Roman"/>
                <w:color w:val="auto"/>
                <w:kern w:val="2"/>
                <w:sz w:val="24"/>
                <w:szCs w:val="24"/>
                <w:lang w:val="en-US" w:eastAsia="zh-CN" w:bidi="ar-SA"/>
              </w:rPr>
              <w:t>队</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258</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Hans"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烟草专卖局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烟草专卖零售许可</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Hans"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烟草专卖局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《中华人民共和国烟草专卖法》</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szCs w:val="24"/>
                <w:lang w:val="en-US" w:eastAsia="zh-CN"/>
              </w:rPr>
              <w:t>259</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雷电防护装置设计审核</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260</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雷电防护装置竣工验收</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261</w:t>
            </w:r>
          </w:p>
        </w:tc>
        <w:tc>
          <w:tcPr>
            <w:tcW w:w="1283"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1836"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升放无人驾驶自由气球或者系留气球活动审批</w:t>
            </w:r>
          </w:p>
        </w:tc>
        <w:tc>
          <w:tcPr>
            <w:tcW w:w="1985"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县</w:t>
            </w:r>
            <w:r>
              <w:rPr>
                <w:rFonts w:hint="default" w:ascii="Times New Roman" w:hAnsi="Times New Roman" w:eastAsia="仿宋_GB2312" w:cs="Times New Roman"/>
                <w:color w:val="auto"/>
                <w:kern w:val="2"/>
                <w:sz w:val="24"/>
                <w:szCs w:val="24"/>
                <w:lang w:val="en-US" w:eastAsia="zh-CN" w:bidi="ar-SA"/>
              </w:rPr>
              <w:t>气象局</w:t>
            </w:r>
          </w:p>
        </w:tc>
        <w:tc>
          <w:tcPr>
            <w:tcW w:w="2917" w:type="dxa"/>
            <w:noWrap w:val="0"/>
            <w:vAlign w:val="center"/>
          </w:tcPr>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《通用航空飞行管制条例》</w:t>
            </w:r>
          </w:p>
          <w:p>
            <w:pPr>
              <w:pStyle w:val="8"/>
              <w:keepNext w:val="0"/>
              <w:keepLines w:val="0"/>
              <w:pageBreakBefore w:val="0"/>
              <w:kinsoku/>
              <w:wordWrap/>
              <w:overflowPunct/>
              <w:topLinePunct w:val="0"/>
              <w:autoSpaceDE/>
              <w:autoSpaceDN/>
              <w:bidi w:val="0"/>
              <w:adjustRightInd/>
              <w:snapToGrid/>
              <w:spacing w:line="320" w:lineRule="exact"/>
              <w:ind w:right="45" w:rightChars="0"/>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《国务院关于第六批取消和调整行政审批项目的决定）（国发〔2012〕52号）</w:t>
            </w:r>
          </w:p>
        </w:tc>
      </w:tr>
    </w:tbl>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pPr>
        <w:pStyle w:val="4"/>
        <w:keepNext w:val="0"/>
        <w:keepLines w:val="0"/>
        <w:widowControl/>
        <w:suppressLineNumbers w:val="0"/>
        <w:wordWrap/>
        <w:ind w:firstLine="640" w:firstLineChars="200"/>
        <w:jc w:val="left"/>
        <w:rPr>
          <w:rFonts w:hint="eastAsia" w:ascii="仿宋_GB2312" w:hAnsi="仿宋_GB2312" w:eastAsia="仿宋_GB2312" w:cs="仿宋_GB2312"/>
          <w:color w:val="0000FF"/>
          <w:kern w:val="2"/>
          <w:sz w:val="32"/>
          <w:szCs w:val="32"/>
          <w:lang w:val="en-US" w:eastAsia="zh-CN" w:bidi="ar-SA"/>
        </w:rPr>
      </w:pP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36"/>
                            </w:rPr>
                            <w:t xml:space="preserve">— </w:t>
                          </w:r>
                          <w:r>
                            <w:rPr>
                              <w:rFonts w:hint="default" w:ascii="Times New Roman" w:hAnsi="Times New Roman" w:cs="Times New Roman"/>
                              <w:sz w:val="24"/>
                              <w:szCs w:val="36"/>
                            </w:rPr>
                            <w:fldChar w:fldCharType="begin"/>
                          </w:r>
                          <w:r>
                            <w:rPr>
                              <w:rFonts w:hint="default" w:ascii="Times New Roman" w:hAnsi="Times New Roman" w:cs="Times New Roman"/>
                              <w:sz w:val="24"/>
                              <w:szCs w:val="36"/>
                            </w:rPr>
                            <w:instrText xml:space="preserve"> PAGE  \* MERGEFORMAT </w:instrText>
                          </w:r>
                          <w:r>
                            <w:rPr>
                              <w:rFonts w:hint="default" w:ascii="Times New Roman" w:hAnsi="Times New Roman" w:cs="Times New Roman"/>
                              <w:sz w:val="24"/>
                              <w:szCs w:val="36"/>
                            </w:rPr>
                            <w:fldChar w:fldCharType="separate"/>
                          </w:r>
                          <w:r>
                            <w:rPr>
                              <w:rFonts w:hint="default" w:ascii="Times New Roman" w:hAnsi="Times New Roman" w:cs="Times New Roman"/>
                              <w:sz w:val="24"/>
                              <w:szCs w:val="36"/>
                            </w:rPr>
                            <w:t>- 1 -</w:t>
                          </w:r>
                          <w:r>
                            <w:rPr>
                              <w:rFonts w:hint="default" w:ascii="Times New Roman" w:hAnsi="Times New Roman" w:cs="Times New Roman"/>
                              <w:sz w:val="24"/>
                              <w:szCs w:val="36"/>
                            </w:rPr>
                            <w:fldChar w:fldCharType="end"/>
                          </w:r>
                          <w:r>
                            <w:rPr>
                              <w:rFonts w:hint="default" w:ascii="Times New Roman" w:hAnsi="Times New Roman" w:cs="Times New Roman"/>
                              <w:sz w:val="24"/>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36"/>
                      </w:rPr>
                      <w:t xml:space="preserve">— </w:t>
                    </w:r>
                    <w:r>
                      <w:rPr>
                        <w:rFonts w:hint="default" w:ascii="Times New Roman" w:hAnsi="Times New Roman" w:cs="Times New Roman"/>
                        <w:sz w:val="24"/>
                        <w:szCs w:val="36"/>
                      </w:rPr>
                      <w:fldChar w:fldCharType="begin"/>
                    </w:r>
                    <w:r>
                      <w:rPr>
                        <w:rFonts w:hint="default" w:ascii="Times New Roman" w:hAnsi="Times New Roman" w:cs="Times New Roman"/>
                        <w:sz w:val="24"/>
                        <w:szCs w:val="36"/>
                      </w:rPr>
                      <w:instrText xml:space="preserve"> PAGE  \* MERGEFORMAT </w:instrText>
                    </w:r>
                    <w:r>
                      <w:rPr>
                        <w:rFonts w:hint="default" w:ascii="Times New Roman" w:hAnsi="Times New Roman" w:cs="Times New Roman"/>
                        <w:sz w:val="24"/>
                        <w:szCs w:val="36"/>
                      </w:rPr>
                      <w:fldChar w:fldCharType="separate"/>
                    </w:r>
                    <w:r>
                      <w:rPr>
                        <w:rFonts w:hint="default" w:ascii="Times New Roman" w:hAnsi="Times New Roman" w:cs="Times New Roman"/>
                        <w:sz w:val="24"/>
                        <w:szCs w:val="36"/>
                      </w:rPr>
                      <w:t>- 1 -</w:t>
                    </w:r>
                    <w:r>
                      <w:rPr>
                        <w:rFonts w:hint="default" w:ascii="Times New Roman" w:hAnsi="Times New Roman" w:cs="Times New Roman"/>
                        <w:sz w:val="24"/>
                        <w:szCs w:val="36"/>
                      </w:rPr>
                      <w:fldChar w:fldCharType="end"/>
                    </w:r>
                    <w:r>
                      <w:rPr>
                        <w:rFonts w:hint="default" w:ascii="Times New Roman" w:hAnsi="Times New Roman" w:cs="Times New Roman"/>
                        <w:sz w:val="24"/>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2A54247F"/>
    <w:rsid w:val="2A54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0" w:afterLines="0"/>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2023-11-14T09:16:00Z</dcterms:created>
  <dc:creator>饱饱饿了</dc:creator>
  <cp:lastModifiedBy>饱饱饿了</cp:lastModifiedBy>
  <dcterms:modified xsi:type="dcterms:W3CDTF">2023-11-14T09:17:31Z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7AF46DB62FDA44468878DF7E21FF885A_11</vt:lpwstr>
  </property>
</Properties>
</file>