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2022年铜鼓县社会保险基金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预算收入决算表的说明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1.城乡居民养老保险社会保险费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利息收入下滑25.77%， 2021年有定期2100万到期利息，2022年无定存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定期到期额小于202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，导致利息收入下滑。财政补贴收入增长22.21%，是因为国家及县财政加大财政补贴力度，财政补助收入较上年增长960余万元。委托投资收益降幅较大，是省里根据当年投资情况统一发布的委托投资收益相关数据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2.机关事业单位基本养老保险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利息收入增幅85.19%，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较去年相比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有定期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利息收入，导致利息收入大幅增长。转移收入较上年增幅74.51%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是因为转入人员较上年增长20余人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2023年9月6日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YzExZDE1NWU0MzE0NDU2YjUzMWVjOTcxOGJhZWQifQ=="/>
  </w:docVars>
  <w:rsids>
    <w:rsidRoot w:val="008C2697"/>
    <w:rsid w:val="00084CB6"/>
    <w:rsid w:val="00224D6F"/>
    <w:rsid w:val="006A1AE4"/>
    <w:rsid w:val="00715A5C"/>
    <w:rsid w:val="008C2697"/>
    <w:rsid w:val="00915E34"/>
    <w:rsid w:val="00B71724"/>
    <w:rsid w:val="1D787B4E"/>
    <w:rsid w:val="1FD837FF"/>
    <w:rsid w:val="2A1C134D"/>
    <w:rsid w:val="2F3A3EF1"/>
    <w:rsid w:val="2F76433B"/>
    <w:rsid w:val="35802848"/>
    <w:rsid w:val="361C228F"/>
    <w:rsid w:val="36C344B8"/>
    <w:rsid w:val="3C277358"/>
    <w:rsid w:val="437B6846"/>
    <w:rsid w:val="4685178A"/>
    <w:rsid w:val="478A34FC"/>
    <w:rsid w:val="482079BC"/>
    <w:rsid w:val="48741AB6"/>
    <w:rsid w:val="4BE331DB"/>
    <w:rsid w:val="54C142D5"/>
    <w:rsid w:val="56BF65F2"/>
    <w:rsid w:val="572428B3"/>
    <w:rsid w:val="6C711CE5"/>
    <w:rsid w:val="6C8F201D"/>
    <w:rsid w:val="6DB63E53"/>
    <w:rsid w:val="73722F12"/>
    <w:rsid w:val="76326989"/>
    <w:rsid w:val="7BA23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2022-09-20T00:49:00Z</dcterms:created>
  <dc:creator>dreamsummit</dc:creator>
  <cp:lastModifiedBy>Administrator</cp:lastModifiedBy>
  <dcterms:modified xsi:type="dcterms:W3CDTF">2023-09-09T07:22:07Z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ICV">
    <vt:lpwstr>74FAC76F35274C8293CC0B8F246D9451_12</vt:lpwstr>
  </property>
</Properties>
</file>