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r>
        <w:rPr>
          <w:rFonts w:hint="eastAsia" w:ascii="宋体" w:hAnsi="宋体" w:eastAsia="宋体" w:cs="宋体"/>
          <w:b/>
          <w:bCs/>
          <w:i w:val="0"/>
          <w:iCs w:val="0"/>
          <w:caps w:val="0"/>
          <w:color w:val="333333"/>
          <w:spacing w:val="0"/>
          <w:kern w:val="0"/>
          <w:sz w:val="36"/>
          <w:szCs w:val="36"/>
          <w:bdr w:val="none" w:color="auto" w:sz="0" w:space="0"/>
          <w:shd w:val="clear" w:fill="FFFFFF"/>
          <w:lang w:val="en-US" w:eastAsia="zh-CN" w:bidi="ar"/>
        </w:rPr>
        <w:t>中国人民银行铜鼓县支行</w:t>
      </w:r>
      <w:r>
        <w:rPr>
          <w:rFonts w:hint="eastAsia" w:ascii="宋体" w:hAnsi="宋体" w:eastAsia="宋体" w:cs="宋体"/>
          <w:b/>
          <w:bCs/>
          <w:i w:val="0"/>
          <w:iCs w:val="0"/>
          <w:caps w:val="0"/>
          <w:color w:val="333333"/>
          <w:spacing w:val="0"/>
          <w:kern w:val="0"/>
          <w:sz w:val="36"/>
          <w:szCs w:val="36"/>
          <w:shd w:val="clear" w:fill="FFFFFF"/>
          <w:lang w:val="en-US" w:eastAsia="zh-CN" w:bidi="ar"/>
        </w:rPr>
        <w:t>2020年</w:t>
      </w:r>
      <w:r>
        <w:rPr>
          <w:rFonts w:hint="eastAsia" w:ascii="宋体" w:hAnsi="宋体" w:eastAsia="宋体" w:cs="宋体"/>
          <w:b/>
          <w:bCs/>
          <w:i w:val="0"/>
          <w:iCs w:val="0"/>
          <w:caps w:val="0"/>
          <w:color w:val="333333"/>
          <w:spacing w:val="0"/>
          <w:kern w:val="0"/>
          <w:sz w:val="36"/>
          <w:szCs w:val="36"/>
          <w:bdr w:val="none" w:color="auto" w:sz="0" w:space="0"/>
          <w:shd w:val="clear" w:fill="FFFFFF"/>
          <w:lang w:val="en-US" w:eastAsia="zh-CN" w:bidi="ar"/>
        </w:rPr>
        <w:t>政府信息公开工作年度</w:t>
      </w:r>
      <w:bookmarkStart w:id="0" w:name="_GoBack"/>
      <w:bookmarkEnd w:id="0"/>
      <w:r>
        <w:rPr>
          <w:rFonts w:hint="eastAsia" w:ascii="宋体" w:hAnsi="宋体" w:eastAsia="宋体" w:cs="宋体"/>
          <w:b/>
          <w:bCs/>
          <w:i w:val="0"/>
          <w:iCs w:val="0"/>
          <w:caps w:val="0"/>
          <w:color w:val="333333"/>
          <w:spacing w:val="0"/>
          <w:kern w:val="0"/>
          <w:sz w:val="36"/>
          <w:szCs w:val="36"/>
          <w:bdr w:val="none" w:color="auto" w:sz="0" w:space="0"/>
          <w:shd w:val="clear" w:fill="FFFFFF"/>
          <w:lang w:val="en-US" w:eastAsia="zh-CN" w:bidi="ar"/>
        </w:rPr>
        <w:t>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645"/>
        <w:jc w:val="both"/>
      </w:pPr>
      <w:r>
        <w:rPr>
          <w:rFonts w:ascii="黑体" w:hAnsi="宋体" w:eastAsia="黑体" w:cs="黑体"/>
          <w:i w:val="0"/>
          <w:iCs w:val="0"/>
          <w:caps w:val="0"/>
          <w:color w:val="333333"/>
          <w:spacing w:val="0"/>
          <w:sz w:val="31"/>
          <w:szCs w:val="31"/>
          <w:bdr w:val="none" w:color="auto" w:sz="0" w:space="0"/>
          <w:shd w:val="clear" w:fill="FFFFFF"/>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645"/>
        <w:jc w:val="both"/>
      </w:pPr>
      <w:r>
        <w:rPr>
          <w:rFonts w:ascii="仿宋_GB2312" w:hAnsi="仿宋_GB2312" w:eastAsia="仿宋_GB2312" w:cs="仿宋_GB2312"/>
          <w:i w:val="0"/>
          <w:iCs w:val="0"/>
          <w:caps w:val="0"/>
          <w:color w:val="333333"/>
          <w:spacing w:val="0"/>
          <w:sz w:val="31"/>
          <w:szCs w:val="31"/>
          <w:bdr w:val="none" w:color="auto" w:sz="0" w:space="0"/>
          <w:shd w:val="clear" w:fill="FFFFFF"/>
        </w:rPr>
        <w:t>2020</w:t>
      </w:r>
      <w:r>
        <w:rPr>
          <w:rFonts w:hint="eastAsia" w:ascii="仿宋_GB2312" w:hAnsi="仿宋_GB2312" w:eastAsia="仿宋_GB2312" w:cs="仿宋_GB2312"/>
          <w:i w:val="0"/>
          <w:iCs w:val="0"/>
          <w:caps w:val="0"/>
          <w:color w:val="333333"/>
          <w:spacing w:val="0"/>
          <w:sz w:val="31"/>
          <w:szCs w:val="31"/>
          <w:bdr w:val="none" w:color="auto" w:sz="0" w:space="0"/>
          <w:shd w:val="clear" w:fill="FFFFFF"/>
        </w:rPr>
        <w:t>年度，铜鼓县支行严格贯彻落实《中华人民共和国政府信息公开条例》（以下简称《条例》），支行在主动公开、依申请公开、政府信息管理、平台建设、监督保障上严格遵守《条例》要求，充分发挥当地人民银行在履职工作中金融服务、金融监管中的作用。本报告中数据的统计期限自2020年1月1日起至2020年12月31日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645"/>
        <w:jc w:val="both"/>
      </w:pPr>
      <w:r>
        <w:rPr>
          <w:rFonts w:hint="eastAsia" w:ascii="仿宋_GB2312" w:hAnsi="仿宋_GB2312" w:eastAsia="仿宋_GB2312" w:cs="仿宋_GB2312"/>
          <w:i w:val="0"/>
          <w:iCs w:val="0"/>
          <w:caps w:val="0"/>
          <w:color w:val="333333"/>
          <w:spacing w:val="0"/>
          <w:sz w:val="31"/>
          <w:szCs w:val="31"/>
          <w:bdr w:val="none" w:color="auto" w:sz="0" w:space="0"/>
          <w:shd w:val="clear" w:fill="FFFFFF"/>
        </w:rPr>
        <w:t>（一）主动公开政务信息的主要内容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pPr>
      <w:r>
        <w:rPr>
          <w:rFonts w:hint="eastAsia" w:ascii="仿宋_GB2312" w:hAnsi="仿宋_GB2312" w:eastAsia="仿宋_GB2312" w:cs="仿宋_GB2312"/>
          <w:i w:val="0"/>
          <w:iCs w:val="0"/>
          <w:caps w:val="0"/>
          <w:color w:val="333333"/>
          <w:spacing w:val="0"/>
          <w:sz w:val="31"/>
          <w:szCs w:val="31"/>
          <w:bdr w:val="none" w:color="auto" w:sz="0" w:space="0"/>
          <w:shd w:val="clear" w:fill="FFFFFF"/>
        </w:rPr>
        <w:t> 铜鼓县支行政务信息公开的主要内容有：支行主要职责和内设机构及其主要职责、有关金融法律法规信息、金融服务信息、行政许可事项信息、政务公开办事机构。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pPr>
      <w:r>
        <w:rPr>
          <w:rFonts w:hint="eastAsia" w:ascii="仿宋_GB2312" w:hAnsi="仿宋_GB2312" w:eastAsia="仿宋_GB2312" w:cs="仿宋_GB2312"/>
          <w:i w:val="0"/>
          <w:iCs w:val="0"/>
          <w:caps w:val="0"/>
          <w:color w:val="333333"/>
          <w:spacing w:val="0"/>
          <w:sz w:val="31"/>
          <w:szCs w:val="31"/>
          <w:bdr w:val="none" w:color="auto" w:sz="0" w:space="0"/>
          <w:shd w:val="clear" w:fill="FFFFFF"/>
        </w:rPr>
        <w:t>　　（二）主动公开政务信息方式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645"/>
        <w:jc w:val="both"/>
      </w:pPr>
      <w:r>
        <w:rPr>
          <w:rFonts w:hint="eastAsia" w:ascii="仿宋_GB2312" w:hAnsi="仿宋_GB2312" w:eastAsia="仿宋_GB2312" w:cs="仿宋_GB2312"/>
          <w:i w:val="0"/>
          <w:iCs w:val="0"/>
          <w:caps w:val="0"/>
          <w:color w:val="333333"/>
          <w:spacing w:val="0"/>
          <w:sz w:val="31"/>
          <w:szCs w:val="31"/>
          <w:bdr w:val="none" w:color="auto" w:sz="0" w:space="0"/>
          <w:shd w:val="clear" w:fill="FFFFFF"/>
        </w:rPr>
        <w:t>1.县政府网站政务公开栏目；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645"/>
        <w:jc w:val="both"/>
      </w:pPr>
      <w:r>
        <w:rPr>
          <w:rFonts w:hint="eastAsia" w:ascii="仿宋_GB2312" w:hAnsi="仿宋_GB2312" w:eastAsia="仿宋_GB2312" w:cs="仿宋_GB2312"/>
          <w:i w:val="0"/>
          <w:iCs w:val="0"/>
          <w:caps w:val="0"/>
          <w:color w:val="333333"/>
          <w:spacing w:val="0"/>
          <w:sz w:val="31"/>
          <w:szCs w:val="31"/>
          <w:bdr w:val="none" w:color="auto" w:sz="0" w:space="0"/>
          <w:shd w:val="clear" w:fill="FFFFFF"/>
        </w:rPr>
        <w:t>2.支行宣传专栏及其它各类宣传品；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645"/>
        <w:jc w:val="both"/>
      </w:pPr>
      <w:r>
        <w:rPr>
          <w:rFonts w:hint="eastAsia" w:ascii="仿宋_GB2312" w:hAnsi="仿宋_GB2312" w:eastAsia="仿宋_GB2312" w:cs="仿宋_GB2312"/>
          <w:i w:val="0"/>
          <w:iCs w:val="0"/>
          <w:caps w:val="0"/>
          <w:color w:val="333333"/>
          <w:spacing w:val="0"/>
          <w:sz w:val="31"/>
          <w:szCs w:val="31"/>
          <w:bdr w:val="none" w:color="auto" w:sz="0" w:space="0"/>
          <w:shd w:val="clear" w:fill="FFFFFF"/>
        </w:rPr>
        <w:t>3.当地新闻媒体。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645"/>
        <w:jc w:val="both"/>
      </w:pPr>
      <w:r>
        <w:rPr>
          <w:rFonts w:hint="eastAsia" w:ascii="仿宋_GB2312" w:hAnsi="仿宋_GB2312" w:eastAsia="仿宋_GB2312" w:cs="仿宋_GB2312"/>
          <w:i w:val="0"/>
          <w:iCs w:val="0"/>
          <w:caps w:val="0"/>
          <w:color w:val="333333"/>
          <w:spacing w:val="0"/>
          <w:sz w:val="31"/>
          <w:szCs w:val="31"/>
          <w:bdr w:val="none" w:color="auto" w:sz="0" w:space="0"/>
          <w:shd w:val="clear" w:fill="FFFFFF"/>
        </w:rPr>
        <w:t>（三）依申请公开政务信息情况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645"/>
        <w:jc w:val="both"/>
      </w:pPr>
      <w:r>
        <w:rPr>
          <w:rFonts w:hint="eastAsia" w:ascii="仿宋_GB2312" w:hAnsi="仿宋_GB2312" w:eastAsia="仿宋_GB2312" w:cs="仿宋_GB2312"/>
          <w:i w:val="0"/>
          <w:iCs w:val="0"/>
          <w:caps w:val="0"/>
          <w:color w:val="333333"/>
          <w:spacing w:val="0"/>
          <w:sz w:val="31"/>
          <w:szCs w:val="31"/>
          <w:bdr w:val="none" w:color="auto" w:sz="0" w:space="0"/>
          <w:shd w:val="clear" w:fill="FFFFFF"/>
        </w:rPr>
        <w:t>1、依申请公开政务信息情况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645"/>
        <w:jc w:val="both"/>
      </w:pPr>
      <w:r>
        <w:rPr>
          <w:rFonts w:hint="eastAsia" w:ascii="仿宋_GB2312" w:hAnsi="仿宋_GB2312" w:eastAsia="仿宋_GB2312" w:cs="仿宋_GB2312"/>
          <w:i w:val="0"/>
          <w:iCs w:val="0"/>
          <w:caps w:val="0"/>
          <w:color w:val="333333"/>
          <w:spacing w:val="0"/>
          <w:sz w:val="31"/>
          <w:szCs w:val="31"/>
          <w:bdr w:val="none" w:color="auto" w:sz="0" w:space="0"/>
          <w:shd w:val="clear" w:fill="FFFFFF"/>
        </w:rPr>
        <w:t>2020年铜鼓县支行未收到公民、法人及其他组织提出的政务信息公开申请。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pPr>
      <w:r>
        <w:rPr>
          <w:rFonts w:hint="eastAsia" w:ascii="仿宋_GB2312" w:hAnsi="仿宋_GB2312" w:eastAsia="仿宋_GB2312" w:cs="仿宋_GB2312"/>
          <w:i w:val="0"/>
          <w:iCs w:val="0"/>
          <w:caps w:val="0"/>
          <w:color w:val="333333"/>
          <w:spacing w:val="0"/>
          <w:sz w:val="31"/>
          <w:szCs w:val="31"/>
          <w:bdr w:val="none" w:color="auto" w:sz="0" w:space="0"/>
          <w:shd w:val="clear" w:fill="FFFFFF"/>
        </w:rPr>
        <w:t>        2、不予公开政府信息情况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pPr>
      <w:r>
        <w:rPr>
          <w:rFonts w:hint="eastAsia" w:ascii="仿宋_GB2312" w:hAnsi="仿宋_GB2312" w:eastAsia="仿宋_GB2312" w:cs="仿宋_GB2312"/>
          <w:i w:val="0"/>
          <w:iCs w:val="0"/>
          <w:caps w:val="0"/>
          <w:color w:val="333333"/>
          <w:spacing w:val="0"/>
          <w:sz w:val="31"/>
          <w:szCs w:val="31"/>
          <w:bdr w:val="none" w:color="auto" w:sz="0" w:space="0"/>
          <w:shd w:val="clear" w:fill="FFFFFF"/>
        </w:rPr>
        <w:t>　　铜鼓县支行建立了依申请公开制度，明确信息公开审查机制和程序，对于涉及国家秘密、商业秘密、个人隐私的金融信息，与行政执法有关，公开后会影响检查、调查、取证等执法活动或者会威胁个人、单位安全的事项等金融信息（法律另有规定的除外）不予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645"/>
        <w:jc w:val="both"/>
      </w:pPr>
      <w:r>
        <w:rPr>
          <w:rFonts w:hint="eastAsia" w:ascii="仿宋_GB2312" w:hAnsi="仿宋_GB2312" w:eastAsia="仿宋_GB2312" w:cs="仿宋_GB2312"/>
          <w:i w:val="0"/>
          <w:iCs w:val="0"/>
          <w:caps w:val="0"/>
          <w:color w:val="333333"/>
          <w:spacing w:val="0"/>
          <w:sz w:val="31"/>
          <w:szCs w:val="31"/>
          <w:bdr w:val="none" w:color="auto" w:sz="0" w:space="0"/>
          <w:shd w:val="clear" w:fill="FFFFFF"/>
        </w:rPr>
        <w:t>（四）政务信息公开的收费、减免情况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645"/>
        <w:jc w:val="both"/>
      </w:pPr>
      <w:r>
        <w:rPr>
          <w:rFonts w:hint="eastAsia" w:ascii="仿宋_GB2312" w:hAnsi="仿宋_GB2312" w:eastAsia="仿宋_GB2312" w:cs="仿宋_GB2312"/>
          <w:i w:val="0"/>
          <w:iCs w:val="0"/>
          <w:caps w:val="0"/>
          <w:color w:val="333333"/>
          <w:spacing w:val="0"/>
          <w:sz w:val="31"/>
          <w:szCs w:val="31"/>
          <w:bdr w:val="none" w:color="auto" w:sz="0" w:space="0"/>
          <w:shd w:val="clear" w:fill="FFFFFF"/>
        </w:rPr>
        <w:t>2020年度铜鼓县支行未向申请人收取任何费用。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645"/>
        <w:jc w:val="both"/>
      </w:pPr>
      <w:r>
        <w:rPr>
          <w:rFonts w:hint="eastAsia" w:ascii="仿宋_GB2312" w:hAnsi="仿宋_GB2312" w:eastAsia="仿宋_GB2312" w:cs="仿宋_GB2312"/>
          <w:i w:val="0"/>
          <w:iCs w:val="0"/>
          <w:caps w:val="0"/>
          <w:color w:val="333333"/>
          <w:spacing w:val="0"/>
          <w:sz w:val="31"/>
          <w:szCs w:val="31"/>
          <w:bdr w:val="none" w:color="auto" w:sz="0" w:space="0"/>
          <w:shd w:val="clear" w:fill="FFFFFF"/>
        </w:rPr>
        <w:t>（五）申请行政复议、提起行政诉讼情况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645"/>
        <w:jc w:val="both"/>
      </w:pPr>
      <w:r>
        <w:rPr>
          <w:rFonts w:hint="eastAsia" w:ascii="仿宋_GB2312" w:hAnsi="仿宋_GB2312" w:eastAsia="仿宋_GB2312" w:cs="仿宋_GB2312"/>
          <w:i w:val="0"/>
          <w:iCs w:val="0"/>
          <w:caps w:val="0"/>
          <w:color w:val="333333"/>
          <w:spacing w:val="0"/>
          <w:sz w:val="31"/>
          <w:szCs w:val="31"/>
          <w:bdr w:val="none" w:color="auto" w:sz="0" w:space="0"/>
          <w:shd w:val="clear" w:fill="FFFFFF"/>
        </w:rPr>
        <w:t>2020年度铜鼓县支行没有出现因政务信息公开当事人申请行政复议或行政诉讼的情况。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50" w:lineRule="atLeast"/>
        <w:ind w:left="0" w:right="0" w:firstLine="645"/>
        <w:jc w:val="both"/>
      </w:pPr>
      <w:r>
        <w:rPr>
          <w:rFonts w:hint="eastAsia" w:ascii="黑体" w:hAnsi="宋体" w:eastAsia="黑体" w:cs="黑体"/>
          <w:i w:val="0"/>
          <w:iCs w:val="0"/>
          <w:caps w:val="0"/>
          <w:color w:val="333333"/>
          <w:spacing w:val="0"/>
          <w:sz w:val="31"/>
          <w:szCs w:val="31"/>
          <w:bdr w:val="none" w:color="auto" w:sz="0" w:space="0"/>
          <w:shd w:val="clear" w:fill="FFFFFF"/>
        </w:rPr>
        <w:t>二、主动公开政府信息情况</w:t>
      </w:r>
    </w:p>
    <w:tbl>
      <w:tblPr>
        <w:tblW w:w="0" w:type="auto"/>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817"/>
        <w:gridCol w:w="2091"/>
        <w:gridCol w:w="1543"/>
        <w:gridCol w:w="1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0" w:hRule="atLeast"/>
          <w:tblCellSpacing w:w="0" w:type="dxa"/>
        </w:trPr>
        <w:tc>
          <w:tcPr>
            <w:tcW w:w="8415" w:type="dxa"/>
            <w:gridSpan w:val="4"/>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sz w:val="19"/>
                <w:szCs w:val="19"/>
                <w:bdr w:val="none" w:color="auto" w:sz="0" w:space="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trPr>
        <w:tc>
          <w:tcPr>
            <w:tcW w:w="2850" w:type="dxa"/>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sz w:val="19"/>
                <w:szCs w:val="19"/>
                <w:bdr w:val="none" w:color="auto" w:sz="0" w:space="0"/>
              </w:rPr>
              <w:t>信息内容</w:t>
            </w:r>
          </w:p>
        </w:tc>
        <w:tc>
          <w:tcPr>
            <w:tcW w:w="2115" w:type="dxa"/>
            <w:tcBorders>
              <w:top w:val="single" w:color="000000" w:sz="6" w:space="0"/>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仿宋_GB2312" w:eastAsia="仿宋_GB2312" w:cs="仿宋_GB2312"/>
                <w:sz w:val="19"/>
                <w:szCs w:val="19"/>
                <w:bdr w:val="none" w:color="auto" w:sz="0" w:space="0"/>
              </w:rPr>
              <w:t>本年新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仿宋_GB2312" w:eastAsia="仿宋_GB2312" w:cs="仿宋_GB2312"/>
                <w:sz w:val="19"/>
                <w:szCs w:val="19"/>
                <w:bdr w:val="none" w:color="auto" w:sz="0" w:space="0"/>
              </w:rPr>
              <w:t>制作数量</w:t>
            </w:r>
          </w:p>
        </w:tc>
        <w:tc>
          <w:tcPr>
            <w:tcW w:w="1560" w:type="dxa"/>
            <w:tcBorders>
              <w:top w:val="single" w:color="000000" w:sz="6" w:space="0"/>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仿宋_GB2312" w:eastAsia="仿宋_GB2312" w:cs="仿宋_GB2312"/>
                <w:sz w:val="19"/>
                <w:szCs w:val="19"/>
                <w:bdr w:val="none" w:color="auto" w:sz="0" w:space="0"/>
              </w:rPr>
              <w:t>本年新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仿宋_GB2312" w:eastAsia="仿宋_GB2312" w:cs="仿宋_GB2312"/>
                <w:sz w:val="19"/>
                <w:szCs w:val="19"/>
                <w:bdr w:val="none" w:color="auto" w:sz="0" w:space="0"/>
              </w:rPr>
              <w:t>公开数量</w:t>
            </w:r>
          </w:p>
        </w:tc>
        <w:tc>
          <w:tcPr>
            <w:tcW w:w="187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sz w:val="19"/>
                <w:szCs w:val="19"/>
                <w:bdr w:val="none" w:color="auto" w:sz="0" w:space="0"/>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blCellSpacing w:w="0" w:type="dxa"/>
        </w:trPr>
        <w:tc>
          <w:tcPr>
            <w:tcW w:w="2850" w:type="dxa"/>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both"/>
            </w:pPr>
            <w:r>
              <w:rPr>
                <w:rFonts w:hint="eastAsia" w:ascii="仿宋_GB2312" w:hAnsi="仿宋_GB2312" w:eastAsia="仿宋_GB2312" w:cs="仿宋_GB2312"/>
                <w:sz w:val="19"/>
                <w:szCs w:val="19"/>
                <w:bdr w:val="none" w:color="auto" w:sz="0" w:space="0"/>
              </w:rPr>
              <w:t>规章</w:t>
            </w:r>
          </w:p>
        </w:tc>
        <w:tc>
          <w:tcPr>
            <w:tcW w:w="211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color w:val="333333"/>
                <w:sz w:val="24"/>
                <w:szCs w:val="24"/>
                <w:bdr w:val="none" w:color="auto" w:sz="0" w:space="0"/>
              </w:rPr>
              <w:t>0</w:t>
            </w:r>
          </w:p>
        </w:tc>
        <w:tc>
          <w:tcPr>
            <w:tcW w:w="156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color w:val="333333"/>
                <w:sz w:val="24"/>
                <w:szCs w:val="24"/>
                <w:bdr w:val="none" w:color="auto" w:sz="0" w:space="0"/>
              </w:rPr>
              <w:t>0</w:t>
            </w:r>
          </w:p>
        </w:tc>
        <w:tc>
          <w:tcPr>
            <w:tcW w:w="187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color w:val="333333"/>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blCellSpacing w:w="0" w:type="dxa"/>
        </w:trPr>
        <w:tc>
          <w:tcPr>
            <w:tcW w:w="2850" w:type="dxa"/>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both"/>
            </w:pPr>
            <w:r>
              <w:rPr>
                <w:rFonts w:hint="eastAsia" w:ascii="仿宋_GB2312" w:hAnsi="仿宋_GB2312" w:eastAsia="仿宋_GB2312" w:cs="仿宋_GB2312"/>
                <w:sz w:val="19"/>
                <w:szCs w:val="19"/>
                <w:bdr w:val="none" w:color="auto" w:sz="0" w:space="0"/>
              </w:rPr>
              <w:t>规范性文件</w:t>
            </w:r>
          </w:p>
        </w:tc>
        <w:tc>
          <w:tcPr>
            <w:tcW w:w="211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color w:val="333333"/>
                <w:sz w:val="24"/>
                <w:szCs w:val="24"/>
                <w:bdr w:val="none" w:color="auto" w:sz="0" w:space="0"/>
              </w:rPr>
              <w:t>0</w:t>
            </w:r>
          </w:p>
        </w:tc>
        <w:tc>
          <w:tcPr>
            <w:tcW w:w="156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color w:val="333333"/>
                <w:sz w:val="24"/>
                <w:szCs w:val="24"/>
                <w:bdr w:val="none" w:color="auto" w:sz="0" w:space="0"/>
              </w:rPr>
              <w:t>0</w:t>
            </w:r>
          </w:p>
        </w:tc>
        <w:tc>
          <w:tcPr>
            <w:tcW w:w="187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color w:val="333333"/>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blCellSpacing w:w="0" w:type="dxa"/>
        </w:trPr>
        <w:tc>
          <w:tcPr>
            <w:tcW w:w="8415" w:type="dxa"/>
            <w:gridSpan w:val="4"/>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sz w:val="19"/>
                <w:szCs w:val="19"/>
                <w:bdr w:val="none" w:color="auto" w:sz="0" w:space="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blCellSpacing w:w="0" w:type="dxa"/>
        </w:trPr>
        <w:tc>
          <w:tcPr>
            <w:tcW w:w="2850" w:type="dxa"/>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sz w:val="19"/>
                <w:szCs w:val="19"/>
                <w:bdr w:val="none" w:color="auto" w:sz="0" w:space="0"/>
              </w:rPr>
              <w:t>信息内容</w:t>
            </w:r>
          </w:p>
        </w:tc>
        <w:tc>
          <w:tcPr>
            <w:tcW w:w="2115" w:type="dxa"/>
            <w:tcBorders>
              <w:top w:val="single" w:color="000000" w:sz="6" w:space="0"/>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sz w:val="19"/>
                <w:szCs w:val="19"/>
                <w:bdr w:val="none" w:color="auto" w:sz="0" w:space="0"/>
              </w:rPr>
              <w:t>上一年项目数量</w:t>
            </w:r>
          </w:p>
        </w:tc>
        <w:tc>
          <w:tcPr>
            <w:tcW w:w="1560" w:type="dxa"/>
            <w:tcBorders>
              <w:top w:val="single" w:color="000000" w:sz="6" w:space="0"/>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sz w:val="19"/>
                <w:szCs w:val="19"/>
                <w:bdr w:val="none" w:color="auto" w:sz="0" w:space="0"/>
              </w:rPr>
              <w:t>本年增/减</w:t>
            </w:r>
          </w:p>
        </w:tc>
        <w:tc>
          <w:tcPr>
            <w:tcW w:w="187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sz w:val="19"/>
                <w:szCs w:val="19"/>
                <w:bdr w:val="none" w:color="auto" w:sz="0" w:space="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blCellSpacing w:w="0" w:type="dxa"/>
        </w:trPr>
        <w:tc>
          <w:tcPr>
            <w:tcW w:w="2850" w:type="dxa"/>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both"/>
            </w:pPr>
            <w:r>
              <w:rPr>
                <w:rFonts w:hint="eastAsia" w:ascii="仿宋_GB2312" w:hAnsi="仿宋_GB2312" w:eastAsia="仿宋_GB2312" w:cs="仿宋_GB2312"/>
                <w:sz w:val="19"/>
                <w:szCs w:val="19"/>
                <w:bdr w:val="none" w:color="auto" w:sz="0" w:space="0"/>
              </w:rPr>
              <w:t>行政许可</w:t>
            </w:r>
          </w:p>
        </w:tc>
        <w:tc>
          <w:tcPr>
            <w:tcW w:w="211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color w:val="333333"/>
                <w:sz w:val="24"/>
                <w:szCs w:val="24"/>
                <w:bdr w:val="none" w:color="auto" w:sz="0" w:space="0"/>
              </w:rPr>
              <w:t>0</w:t>
            </w:r>
          </w:p>
        </w:tc>
        <w:tc>
          <w:tcPr>
            <w:tcW w:w="156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color w:val="333333"/>
                <w:sz w:val="24"/>
                <w:szCs w:val="24"/>
                <w:bdr w:val="none" w:color="auto" w:sz="0" w:space="0"/>
              </w:rPr>
              <w:t>0</w:t>
            </w:r>
          </w:p>
        </w:tc>
        <w:tc>
          <w:tcPr>
            <w:tcW w:w="187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blCellSpacing w:w="0" w:type="dxa"/>
        </w:trPr>
        <w:tc>
          <w:tcPr>
            <w:tcW w:w="2850" w:type="dxa"/>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both"/>
            </w:pPr>
            <w:r>
              <w:rPr>
                <w:rFonts w:hint="eastAsia" w:ascii="仿宋_GB2312" w:hAnsi="仿宋_GB2312" w:eastAsia="仿宋_GB2312" w:cs="仿宋_GB2312"/>
                <w:sz w:val="19"/>
                <w:szCs w:val="19"/>
                <w:bdr w:val="none" w:color="auto" w:sz="0" w:space="0"/>
              </w:rPr>
              <w:t>其他对外管理服务事项</w:t>
            </w:r>
          </w:p>
        </w:tc>
        <w:tc>
          <w:tcPr>
            <w:tcW w:w="211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color w:val="333333"/>
                <w:sz w:val="24"/>
                <w:szCs w:val="24"/>
                <w:bdr w:val="none" w:color="auto" w:sz="0" w:space="0"/>
              </w:rPr>
              <w:t>0</w:t>
            </w:r>
          </w:p>
        </w:tc>
        <w:tc>
          <w:tcPr>
            <w:tcW w:w="156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color w:val="333333"/>
                <w:sz w:val="24"/>
                <w:szCs w:val="24"/>
                <w:bdr w:val="none" w:color="auto" w:sz="0" w:space="0"/>
              </w:rPr>
              <w:t>0</w:t>
            </w:r>
          </w:p>
        </w:tc>
        <w:tc>
          <w:tcPr>
            <w:tcW w:w="187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color w:val="333333"/>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blCellSpacing w:w="0" w:type="dxa"/>
        </w:trPr>
        <w:tc>
          <w:tcPr>
            <w:tcW w:w="8415" w:type="dxa"/>
            <w:gridSpan w:val="4"/>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sz w:val="19"/>
                <w:szCs w:val="19"/>
                <w:bdr w:val="none" w:color="auto" w:sz="0" w:space="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blCellSpacing w:w="0" w:type="dxa"/>
        </w:trPr>
        <w:tc>
          <w:tcPr>
            <w:tcW w:w="2850" w:type="dxa"/>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sz w:val="19"/>
                <w:szCs w:val="19"/>
                <w:bdr w:val="none" w:color="auto" w:sz="0" w:space="0"/>
              </w:rPr>
              <w:t>信息内容</w:t>
            </w:r>
          </w:p>
        </w:tc>
        <w:tc>
          <w:tcPr>
            <w:tcW w:w="2115" w:type="dxa"/>
            <w:tcBorders>
              <w:top w:val="single" w:color="000000" w:sz="6" w:space="0"/>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sz w:val="19"/>
                <w:szCs w:val="19"/>
                <w:bdr w:val="none" w:color="auto" w:sz="0" w:space="0"/>
              </w:rPr>
              <w:t>上一年项目数量</w:t>
            </w:r>
          </w:p>
        </w:tc>
        <w:tc>
          <w:tcPr>
            <w:tcW w:w="1560" w:type="dxa"/>
            <w:tcBorders>
              <w:top w:val="single" w:color="000000" w:sz="6" w:space="0"/>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sz w:val="19"/>
                <w:szCs w:val="19"/>
                <w:bdr w:val="none" w:color="auto" w:sz="0" w:space="0"/>
              </w:rPr>
              <w:t>本年增/减</w:t>
            </w:r>
          </w:p>
        </w:tc>
        <w:tc>
          <w:tcPr>
            <w:tcW w:w="187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sz w:val="19"/>
                <w:szCs w:val="19"/>
                <w:bdr w:val="none" w:color="auto" w:sz="0" w:space="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0" w:hRule="atLeast"/>
          <w:tblCellSpacing w:w="0" w:type="dxa"/>
        </w:trPr>
        <w:tc>
          <w:tcPr>
            <w:tcW w:w="2850" w:type="dxa"/>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both"/>
            </w:pPr>
            <w:r>
              <w:rPr>
                <w:rFonts w:hint="eastAsia" w:ascii="仿宋_GB2312" w:hAnsi="仿宋_GB2312" w:eastAsia="仿宋_GB2312" w:cs="仿宋_GB2312"/>
                <w:sz w:val="19"/>
                <w:szCs w:val="19"/>
                <w:bdr w:val="none" w:color="auto" w:sz="0" w:space="0"/>
              </w:rPr>
              <w:t>行政处罚</w:t>
            </w:r>
          </w:p>
        </w:tc>
        <w:tc>
          <w:tcPr>
            <w:tcW w:w="211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color w:val="333333"/>
                <w:sz w:val="24"/>
                <w:szCs w:val="24"/>
                <w:bdr w:val="none" w:color="auto" w:sz="0" w:space="0"/>
              </w:rPr>
              <w:t>0</w:t>
            </w:r>
          </w:p>
        </w:tc>
        <w:tc>
          <w:tcPr>
            <w:tcW w:w="156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color w:val="333333"/>
                <w:sz w:val="24"/>
                <w:szCs w:val="24"/>
                <w:bdr w:val="none" w:color="auto" w:sz="0" w:space="0"/>
              </w:rPr>
              <w:t>0</w:t>
            </w:r>
          </w:p>
        </w:tc>
        <w:tc>
          <w:tcPr>
            <w:tcW w:w="187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color w:val="333333"/>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blCellSpacing w:w="0" w:type="dxa"/>
        </w:trPr>
        <w:tc>
          <w:tcPr>
            <w:tcW w:w="2850" w:type="dxa"/>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both"/>
            </w:pPr>
            <w:r>
              <w:rPr>
                <w:rFonts w:hint="eastAsia" w:ascii="仿宋_GB2312" w:hAnsi="仿宋_GB2312" w:eastAsia="仿宋_GB2312" w:cs="仿宋_GB2312"/>
                <w:sz w:val="19"/>
                <w:szCs w:val="19"/>
                <w:bdr w:val="none" w:color="auto" w:sz="0" w:space="0"/>
              </w:rPr>
              <w:t>行政强制</w:t>
            </w:r>
          </w:p>
        </w:tc>
        <w:tc>
          <w:tcPr>
            <w:tcW w:w="211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color w:val="333333"/>
                <w:sz w:val="24"/>
                <w:szCs w:val="24"/>
                <w:bdr w:val="none" w:color="auto" w:sz="0" w:space="0"/>
              </w:rPr>
              <w:t>0</w:t>
            </w:r>
          </w:p>
        </w:tc>
        <w:tc>
          <w:tcPr>
            <w:tcW w:w="156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color w:val="333333"/>
                <w:sz w:val="24"/>
                <w:szCs w:val="24"/>
                <w:bdr w:val="none" w:color="auto" w:sz="0" w:space="0"/>
              </w:rPr>
              <w:t>0</w:t>
            </w:r>
          </w:p>
        </w:tc>
        <w:tc>
          <w:tcPr>
            <w:tcW w:w="187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color w:val="333333"/>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0" w:hRule="atLeast"/>
          <w:tblCellSpacing w:w="0" w:type="dxa"/>
        </w:trPr>
        <w:tc>
          <w:tcPr>
            <w:tcW w:w="8415" w:type="dxa"/>
            <w:gridSpan w:val="4"/>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sz w:val="19"/>
                <w:szCs w:val="19"/>
                <w:bdr w:val="none" w:color="auto" w:sz="0" w:space="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blCellSpacing w:w="0" w:type="dxa"/>
        </w:trPr>
        <w:tc>
          <w:tcPr>
            <w:tcW w:w="2850" w:type="dxa"/>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sz w:val="19"/>
                <w:szCs w:val="19"/>
                <w:bdr w:val="none" w:color="auto" w:sz="0" w:space="0"/>
              </w:rPr>
              <w:t>信息内容</w:t>
            </w:r>
          </w:p>
        </w:tc>
        <w:tc>
          <w:tcPr>
            <w:tcW w:w="211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sz w:val="19"/>
                <w:szCs w:val="19"/>
                <w:bdr w:val="none" w:color="auto" w:sz="0" w:space="0"/>
              </w:rPr>
              <w:t>上一年项目数量</w:t>
            </w:r>
          </w:p>
        </w:tc>
        <w:tc>
          <w:tcPr>
            <w:tcW w:w="3450" w:type="dxa"/>
            <w:gridSpan w:val="2"/>
            <w:tcBorders>
              <w:top w:val="single" w:color="000000" w:sz="6" w:space="0"/>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sz w:val="19"/>
                <w:szCs w:val="19"/>
                <w:bdr w:val="none" w:color="auto" w:sz="0" w:space="0"/>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blCellSpacing w:w="0" w:type="dxa"/>
        </w:trPr>
        <w:tc>
          <w:tcPr>
            <w:tcW w:w="2850" w:type="dxa"/>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both"/>
            </w:pPr>
            <w:r>
              <w:rPr>
                <w:rFonts w:hint="eastAsia" w:ascii="仿宋_GB2312" w:hAnsi="仿宋_GB2312" w:eastAsia="仿宋_GB2312" w:cs="仿宋_GB2312"/>
                <w:sz w:val="19"/>
                <w:szCs w:val="19"/>
                <w:bdr w:val="none" w:color="auto" w:sz="0" w:space="0"/>
              </w:rPr>
              <w:t>行政事业性收费</w:t>
            </w:r>
          </w:p>
        </w:tc>
        <w:tc>
          <w:tcPr>
            <w:tcW w:w="211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color w:val="333333"/>
                <w:sz w:val="24"/>
                <w:szCs w:val="24"/>
                <w:bdr w:val="none" w:color="auto" w:sz="0" w:space="0"/>
              </w:rPr>
              <w:t>0</w:t>
            </w:r>
          </w:p>
        </w:tc>
        <w:tc>
          <w:tcPr>
            <w:tcW w:w="3450" w:type="dxa"/>
            <w:gridSpan w:val="2"/>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color w:val="333333"/>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blCellSpacing w:w="0" w:type="dxa"/>
        </w:trPr>
        <w:tc>
          <w:tcPr>
            <w:tcW w:w="8415" w:type="dxa"/>
            <w:gridSpan w:val="4"/>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sz w:val="19"/>
                <w:szCs w:val="19"/>
                <w:bdr w:val="none" w:color="auto" w:sz="0" w:space="0"/>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blCellSpacing w:w="0" w:type="dxa"/>
        </w:trPr>
        <w:tc>
          <w:tcPr>
            <w:tcW w:w="2850" w:type="dxa"/>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sz w:val="19"/>
                <w:szCs w:val="19"/>
                <w:bdr w:val="none" w:color="auto" w:sz="0" w:space="0"/>
              </w:rPr>
              <w:t>信息内容</w:t>
            </w:r>
          </w:p>
        </w:tc>
        <w:tc>
          <w:tcPr>
            <w:tcW w:w="211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sz w:val="19"/>
                <w:szCs w:val="19"/>
                <w:bdr w:val="none" w:color="auto" w:sz="0" w:space="0"/>
              </w:rPr>
              <w:t>采购项目数量</w:t>
            </w:r>
          </w:p>
        </w:tc>
        <w:tc>
          <w:tcPr>
            <w:tcW w:w="3450" w:type="dxa"/>
            <w:gridSpan w:val="2"/>
            <w:tcBorders>
              <w:top w:val="single" w:color="000000" w:sz="6" w:space="0"/>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sz w:val="19"/>
                <w:szCs w:val="19"/>
                <w:bdr w:val="none" w:color="auto" w:sz="0" w:space="0"/>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blCellSpacing w:w="0" w:type="dxa"/>
        </w:trPr>
        <w:tc>
          <w:tcPr>
            <w:tcW w:w="2850" w:type="dxa"/>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both"/>
            </w:pPr>
            <w:r>
              <w:rPr>
                <w:rFonts w:hint="eastAsia" w:ascii="仿宋_GB2312" w:hAnsi="仿宋_GB2312" w:eastAsia="仿宋_GB2312" w:cs="仿宋_GB2312"/>
                <w:sz w:val="19"/>
                <w:szCs w:val="19"/>
                <w:bdr w:val="none" w:color="auto" w:sz="0" w:space="0"/>
              </w:rPr>
              <w:t>政府集中采购</w:t>
            </w:r>
          </w:p>
        </w:tc>
        <w:tc>
          <w:tcPr>
            <w:tcW w:w="211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sz w:val="24"/>
                <w:szCs w:val="24"/>
                <w:bdr w:val="none" w:color="auto" w:sz="0" w:space="0"/>
              </w:rPr>
              <w:t>0</w:t>
            </w:r>
          </w:p>
        </w:tc>
        <w:tc>
          <w:tcPr>
            <w:tcW w:w="3450" w:type="dxa"/>
            <w:gridSpan w:val="2"/>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仿宋_GB2312" w:eastAsia="仿宋_GB2312" w:cs="仿宋_GB2312"/>
                <w:sz w:val="18"/>
                <w:szCs w:val="18"/>
                <w:bdr w:val="none" w:color="auto" w:sz="0" w:space="0"/>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05"/>
        <w:jc w:val="both"/>
      </w:pPr>
      <w:r>
        <w:rPr>
          <w:rStyle w:val="5"/>
          <w:rFonts w:hint="eastAsia" w:ascii="仿宋_GB2312" w:hAnsi="仿宋_GB2312" w:eastAsia="仿宋_GB2312" w:cs="仿宋_GB2312"/>
          <w:i w:val="0"/>
          <w:iCs w:val="0"/>
          <w:caps w:val="0"/>
          <w:color w:val="333333"/>
          <w:spacing w:val="0"/>
          <w:sz w:val="19"/>
          <w:szCs w:val="19"/>
          <w:bdr w:val="none" w:color="auto" w:sz="0" w:space="0"/>
          <w:shd w:val="clear" w:fill="FFFFFF"/>
        </w:rPr>
        <w:t>注：</w:t>
      </w:r>
      <w:r>
        <w:rPr>
          <w:rFonts w:hint="eastAsia" w:ascii="仿宋_GB2312" w:hAnsi="仿宋_GB2312" w:eastAsia="仿宋_GB2312" w:cs="仿宋_GB2312"/>
          <w:i w:val="0"/>
          <w:iCs w:val="0"/>
          <w:caps w:val="0"/>
          <w:color w:val="333333"/>
          <w:spacing w:val="0"/>
          <w:sz w:val="19"/>
          <w:szCs w:val="19"/>
          <w:bdr w:val="none" w:color="auto" w:sz="0" w:space="0"/>
          <w:shd w:val="clear" w:fill="FFFFFF"/>
        </w:rPr>
        <w:t>1.在填写时，请注意和法律部门、具有行政许可事项和行政处罚事项部门沟通，确保数据准确。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05"/>
        <w:jc w:val="both"/>
      </w:pPr>
      <w:r>
        <w:rPr>
          <w:rFonts w:hint="eastAsia" w:ascii="仿宋_GB2312" w:hAnsi="仿宋_GB2312" w:eastAsia="仿宋_GB2312" w:cs="仿宋_GB2312"/>
          <w:i w:val="0"/>
          <w:iCs w:val="0"/>
          <w:caps w:val="0"/>
          <w:color w:val="333333"/>
          <w:spacing w:val="0"/>
          <w:sz w:val="19"/>
          <w:szCs w:val="19"/>
          <w:bdr w:val="none" w:color="auto" w:sz="0" w:space="0"/>
          <w:shd w:val="clear" w:fill="FFFFFF"/>
        </w:rPr>
        <w:t>2.</w:t>
      </w:r>
      <w:r>
        <w:rPr>
          <w:rFonts w:ascii="Calibri" w:hAnsi="Calibri" w:eastAsia="Calibri" w:cs="Calibri"/>
          <w:i w:val="0"/>
          <w:iCs w:val="0"/>
          <w:caps w:val="0"/>
          <w:color w:val="333333"/>
          <w:spacing w:val="0"/>
          <w:sz w:val="19"/>
          <w:szCs w:val="19"/>
          <w:bdr w:val="none" w:color="auto" w:sz="0" w:space="0"/>
          <w:shd w:val="clear" w:fill="FFFFFF"/>
        </w:rPr>
        <w:t>“</w:t>
      </w:r>
      <w:r>
        <w:rPr>
          <w:rFonts w:hint="eastAsia" w:ascii="仿宋_GB2312" w:hAnsi="仿宋_GB2312" w:eastAsia="仿宋_GB2312" w:cs="仿宋_GB2312"/>
          <w:i w:val="0"/>
          <w:iCs w:val="0"/>
          <w:caps w:val="0"/>
          <w:color w:val="333333"/>
          <w:spacing w:val="0"/>
          <w:sz w:val="19"/>
          <w:szCs w:val="19"/>
          <w:bdr w:val="none" w:color="auto" w:sz="0" w:space="0"/>
          <w:shd w:val="clear" w:fill="FFFFFF"/>
        </w:rPr>
        <w:t>本年新公开数量</w:t>
      </w:r>
      <w:r>
        <w:rPr>
          <w:rFonts w:hint="default" w:ascii="Calibri" w:hAnsi="Calibri" w:eastAsia="Calibri" w:cs="Calibri"/>
          <w:i w:val="0"/>
          <w:iCs w:val="0"/>
          <w:caps w:val="0"/>
          <w:color w:val="333333"/>
          <w:spacing w:val="0"/>
          <w:sz w:val="19"/>
          <w:szCs w:val="19"/>
          <w:bdr w:val="none" w:color="auto" w:sz="0" w:space="0"/>
          <w:shd w:val="clear" w:fill="FFFFFF"/>
        </w:rPr>
        <w:t>”</w:t>
      </w:r>
      <w:r>
        <w:rPr>
          <w:rFonts w:hint="eastAsia" w:ascii="仿宋_GB2312" w:hAnsi="仿宋_GB2312" w:eastAsia="仿宋_GB2312" w:cs="仿宋_GB2312"/>
          <w:i w:val="0"/>
          <w:iCs w:val="0"/>
          <w:caps w:val="0"/>
          <w:color w:val="333333"/>
          <w:spacing w:val="0"/>
          <w:sz w:val="19"/>
          <w:szCs w:val="19"/>
          <w:bdr w:val="none" w:color="auto" w:sz="0" w:space="0"/>
          <w:shd w:val="clear" w:fill="FFFFFF"/>
        </w:rPr>
        <w:t>统计本年新制作并公开的数量，不含往年制作但在本年公开数。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pPr>
      <w:r>
        <w:rPr>
          <w:rFonts w:hint="default" w:ascii="Calibri" w:hAnsi="Calibri" w:eastAsia="Calibri" w:cs="Calibri"/>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05"/>
        <w:jc w:val="both"/>
      </w:pPr>
      <w:r>
        <w:rPr>
          <w:rFonts w:hint="eastAsia" w:ascii="黑体" w:hAnsi="宋体" w:eastAsia="黑体" w:cs="黑体"/>
          <w:i w:val="0"/>
          <w:iCs w:val="0"/>
          <w:caps w:val="0"/>
          <w:color w:val="333333"/>
          <w:spacing w:val="0"/>
          <w:sz w:val="31"/>
          <w:szCs w:val="31"/>
          <w:bdr w:val="none" w:color="auto" w:sz="0" w:space="0"/>
          <w:shd w:val="clear" w:fill="FFFFFF"/>
        </w:rPr>
        <w:t>三、收到和处理政府信息公开申请情况</w:t>
      </w:r>
    </w:p>
    <w:tbl>
      <w:tblPr>
        <w:tblW w:w="0" w:type="auto"/>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34"/>
        <w:gridCol w:w="847"/>
        <w:gridCol w:w="2833"/>
        <w:gridCol w:w="399"/>
        <w:gridCol w:w="661"/>
        <w:gridCol w:w="647"/>
        <w:gridCol w:w="807"/>
        <w:gridCol w:w="807"/>
        <w:gridCol w:w="414"/>
        <w:gridCol w:w="4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4200" w:type="dxa"/>
            <w:gridSpan w:val="3"/>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color w:val="333333"/>
                <w:sz w:val="19"/>
                <w:szCs w:val="19"/>
                <w:bdr w:val="none" w:color="auto" w:sz="0" w:space="0"/>
              </w:rPr>
              <w:t>（本列数据的勾稽关系为：第一项加第二项之和，等于第三项加第四项之和）</w:t>
            </w:r>
          </w:p>
        </w:tc>
        <w:tc>
          <w:tcPr>
            <w:tcW w:w="4275" w:type="dxa"/>
            <w:gridSpan w:val="7"/>
            <w:tcBorders>
              <w:top w:val="single" w:color="000000" w:sz="6" w:space="0"/>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color w:val="333333"/>
                <w:sz w:val="19"/>
                <w:szCs w:val="19"/>
                <w:bdr w:val="none" w:color="auto" w:sz="0" w:space="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4200" w:type="dxa"/>
            <w:gridSpan w:val="3"/>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405" w:type="dxa"/>
            <w:vMerge w:val="restart"/>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color w:val="333333"/>
                <w:sz w:val="19"/>
                <w:szCs w:val="19"/>
                <w:bdr w:val="none" w:color="auto" w:sz="0" w:space="0"/>
              </w:rPr>
              <w:t>自然人</w:t>
            </w:r>
          </w:p>
        </w:tc>
        <w:tc>
          <w:tcPr>
            <w:tcW w:w="3405" w:type="dxa"/>
            <w:gridSpan w:val="5"/>
            <w:tcBorders>
              <w:top w:val="single" w:color="000000" w:sz="6" w:space="0"/>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color w:val="333333"/>
                <w:sz w:val="19"/>
                <w:szCs w:val="19"/>
                <w:bdr w:val="none" w:color="auto" w:sz="0" w:space="0"/>
              </w:rPr>
              <w:t>法人或其他组织</w:t>
            </w:r>
          </w:p>
        </w:tc>
        <w:tc>
          <w:tcPr>
            <w:tcW w:w="465" w:type="dxa"/>
            <w:tcBorders>
              <w:top w:val="single" w:color="000000" w:sz="6" w:space="0"/>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color w:val="333333"/>
                <w:sz w:val="19"/>
                <w:szCs w:val="19"/>
                <w:bdr w:val="none" w:color="auto" w:sz="0" w:space="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4200" w:type="dxa"/>
            <w:gridSpan w:val="3"/>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405" w:type="dxa"/>
            <w:vMerge w:val="continue"/>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67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color w:val="333333"/>
                <w:sz w:val="19"/>
                <w:szCs w:val="19"/>
                <w:bdr w:val="none" w:color="auto" w:sz="0" w:space="0"/>
              </w:rPr>
              <w:t>商业企业</w:t>
            </w:r>
          </w:p>
        </w:tc>
        <w:tc>
          <w:tcPr>
            <w:tcW w:w="66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color w:val="333333"/>
                <w:sz w:val="19"/>
                <w:szCs w:val="19"/>
                <w:bdr w:val="none" w:color="auto" w:sz="0" w:space="0"/>
              </w:rPr>
              <w:t>科研机构</w:t>
            </w:r>
          </w:p>
        </w:tc>
        <w:tc>
          <w:tcPr>
            <w:tcW w:w="825" w:type="dxa"/>
            <w:tcBorders>
              <w:top w:val="single" w:color="000000" w:sz="6" w:space="0"/>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color w:val="333333"/>
                <w:sz w:val="19"/>
                <w:szCs w:val="19"/>
                <w:bdr w:val="none" w:color="auto" w:sz="0" w:space="0"/>
              </w:rPr>
              <w:t>社会公益组织</w:t>
            </w:r>
          </w:p>
        </w:tc>
        <w:tc>
          <w:tcPr>
            <w:tcW w:w="825" w:type="dxa"/>
            <w:tcBorders>
              <w:top w:val="single" w:color="000000" w:sz="6" w:space="0"/>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color w:val="333333"/>
                <w:sz w:val="19"/>
                <w:szCs w:val="19"/>
                <w:bdr w:val="none" w:color="auto" w:sz="0" w:space="0"/>
              </w:rPr>
              <w:t>法律服务机构</w:t>
            </w:r>
          </w:p>
        </w:tc>
        <w:tc>
          <w:tcPr>
            <w:tcW w:w="405" w:type="dxa"/>
            <w:tcBorders>
              <w:top w:val="single" w:color="000000" w:sz="6" w:space="0"/>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color w:val="333333"/>
                <w:sz w:val="19"/>
                <w:szCs w:val="19"/>
                <w:bdr w:val="none" w:color="auto" w:sz="0" w:space="0"/>
              </w:rPr>
              <w:t>其他</w:t>
            </w:r>
          </w:p>
        </w:tc>
        <w:tc>
          <w:tcPr>
            <w:tcW w:w="405" w:type="dxa"/>
            <w:tcBorders>
              <w:top w:val="single" w:color="000000" w:sz="6" w:space="0"/>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eastAsia="Calibri" w:cs="Calibri"/>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4200" w:type="dxa"/>
            <w:gridSpan w:val="3"/>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both"/>
            </w:pPr>
            <w:r>
              <w:rPr>
                <w:rFonts w:hint="eastAsia" w:ascii="仿宋_GB2312" w:hAnsi="仿宋_GB2312" w:eastAsia="仿宋_GB2312" w:cs="仿宋_GB2312"/>
                <w:color w:val="333333"/>
                <w:sz w:val="19"/>
                <w:szCs w:val="19"/>
                <w:bdr w:val="none" w:color="auto" w:sz="0" w:space="0"/>
              </w:rPr>
              <w:t>一、本年新收政府信息公开申请数量</w:t>
            </w:r>
          </w:p>
        </w:tc>
        <w:tc>
          <w:tcPr>
            <w:tcW w:w="40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ascii="Times New Roman" w:hAnsi="Times New Roman" w:cs="Times New Roman"/>
                <w:sz w:val="19"/>
                <w:szCs w:val="19"/>
                <w:bdr w:val="none" w:color="auto" w:sz="0" w:space="0"/>
              </w:rPr>
              <w:t>0</w:t>
            </w:r>
          </w:p>
        </w:tc>
        <w:tc>
          <w:tcPr>
            <w:tcW w:w="67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66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82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82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40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46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4200" w:type="dxa"/>
            <w:gridSpan w:val="3"/>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both"/>
            </w:pPr>
            <w:r>
              <w:rPr>
                <w:rFonts w:hint="eastAsia" w:ascii="仿宋_GB2312" w:hAnsi="仿宋_GB2312" w:eastAsia="仿宋_GB2312" w:cs="仿宋_GB2312"/>
                <w:color w:val="333333"/>
                <w:sz w:val="19"/>
                <w:szCs w:val="19"/>
                <w:bdr w:val="none" w:color="auto" w:sz="0" w:space="0"/>
              </w:rPr>
              <w:t>二、上年结转政府信息公开申请数量</w:t>
            </w:r>
          </w:p>
        </w:tc>
        <w:tc>
          <w:tcPr>
            <w:tcW w:w="40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67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66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82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82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40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46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435" w:type="dxa"/>
            <w:vMerge w:val="restart"/>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color w:val="333333"/>
                <w:sz w:val="19"/>
                <w:szCs w:val="19"/>
                <w:bdr w:val="none" w:color="auto" w:sz="0" w:space="0"/>
              </w:rPr>
              <w:t>三、本年度办理结果</w:t>
            </w:r>
          </w:p>
        </w:tc>
        <w:tc>
          <w:tcPr>
            <w:tcW w:w="3750" w:type="dxa"/>
            <w:gridSpan w:val="2"/>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both"/>
            </w:pPr>
            <w:r>
              <w:rPr>
                <w:rFonts w:hint="eastAsia" w:ascii="仿宋_GB2312" w:hAnsi="仿宋_GB2312" w:eastAsia="仿宋_GB2312" w:cs="仿宋_GB2312"/>
                <w:color w:val="333333"/>
                <w:sz w:val="19"/>
                <w:szCs w:val="19"/>
                <w:bdr w:val="none" w:color="auto" w:sz="0" w:space="0"/>
              </w:rPr>
              <w:t>（一）予以公开</w:t>
            </w:r>
          </w:p>
        </w:tc>
        <w:tc>
          <w:tcPr>
            <w:tcW w:w="40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67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66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82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82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40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465" w:type="dxa"/>
            <w:tcBorders>
              <w:top w:val="single" w:color="000000" w:sz="6" w:space="0"/>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435" w:type="dxa"/>
            <w:vMerge w:val="continue"/>
            <w:tcBorders>
              <w:top w:val="nil"/>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3750" w:type="dxa"/>
            <w:gridSpan w:val="2"/>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both"/>
            </w:pPr>
            <w:r>
              <w:rPr>
                <w:rFonts w:hint="eastAsia" w:ascii="仿宋_GB2312" w:hAnsi="仿宋_GB2312" w:eastAsia="仿宋_GB2312" w:cs="仿宋_GB2312"/>
                <w:color w:val="333333"/>
                <w:sz w:val="19"/>
                <w:szCs w:val="19"/>
                <w:bdr w:val="none" w:color="auto" w:sz="0" w:space="0"/>
              </w:rPr>
              <w:t>（二）部分公开（区分处理的，只计这一情形，不计其他情形）</w:t>
            </w:r>
          </w:p>
        </w:tc>
        <w:tc>
          <w:tcPr>
            <w:tcW w:w="40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67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66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82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82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40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46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435" w:type="dxa"/>
            <w:vMerge w:val="continue"/>
            <w:tcBorders>
              <w:top w:val="nil"/>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855" w:type="dxa"/>
            <w:vMerge w:val="restart"/>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both"/>
            </w:pPr>
            <w:r>
              <w:rPr>
                <w:rFonts w:hint="eastAsia" w:ascii="仿宋_GB2312" w:hAnsi="仿宋_GB2312" w:eastAsia="仿宋_GB2312" w:cs="仿宋_GB2312"/>
                <w:color w:val="333333"/>
                <w:sz w:val="19"/>
                <w:szCs w:val="19"/>
                <w:bdr w:val="none" w:color="auto" w:sz="0" w:space="0"/>
              </w:rPr>
              <w:t>（三）不予公开</w:t>
            </w:r>
          </w:p>
        </w:tc>
        <w:tc>
          <w:tcPr>
            <w:tcW w:w="289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both"/>
            </w:pPr>
            <w:r>
              <w:rPr>
                <w:rFonts w:hint="eastAsia" w:ascii="仿宋_GB2312" w:hAnsi="仿宋_GB2312" w:eastAsia="仿宋_GB2312" w:cs="仿宋_GB2312"/>
                <w:color w:val="333333"/>
                <w:sz w:val="19"/>
                <w:szCs w:val="19"/>
                <w:bdr w:val="none" w:color="auto" w:sz="0" w:space="0"/>
              </w:rPr>
              <w:t>1.属于国家秘密</w:t>
            </w:r>
          </w:p>
        </w:tc>
        <w:tc>
          <w:tcPr>
            <w:tcW w:w="40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67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66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82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82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40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465" w:type="dxa"/>
            <w:tcBorders>
              <w:top w:val="single" w:color="000000" w:sz="6" w:space="0"/>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435" w:type="dxa"/>
            <w:vMerge w:val="continue"/>
            <w:tcBorders>
              <w:top w:val="nil"/>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289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both"/>
            </w:pPr>
            <w:r>
              <w:rPr>
                <w:rFonts w:hint="eastAsia" w:ascii="仿宋_GB2312" w:hAnsi="仿宋_GB2312" w:eastAsia="仿宋_GB2312" w:cs="仿宋_GB2312"/>
                <w:color w:val="333333"/>
                <w:sz w:val="19"/>
                <w:szCs w:val="19"/>
                <w:bdr w:val="none" w:color="auto" w:sz="0" w:space="0"/>
              </w:rPr>
              <w:t>2.其他法律行政法规禁止公开</w:t>
            </w:r>
          </w:p>
        </w:tc>
        <w:tc>
          <w:tcPr>
            <w:tcW w:w="40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67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66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82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82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40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46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435" w:type="dxa"/>
            <w:vMerge w:val="continue"/>
            <w:tcBorders>
              <w:top w:val="nil"/>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289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both"/>
            </w:pPr>
            <w:r>
              <w:rPr>
                <w:rFonts w:hint="eastAsia" w:ascii="仿宋_GB2312" w:hAnsi="仿宋_GB2312" w:eastAsia="仿宋_GB2312" w:cs="仿宋_GB2312"/>
                <w:color w:val="333333"/>
                <w:sz w:val="19"/>
                <w:szCs w:val="19"/>
                <w:bdr w:val="none" w:color="auto" w:sz="0" w:space="0"/>
              </w:rPr>
              <w:t>3.危及</w:t>
            </w:r>
            <w:r>
              <w:rPr>
                <w:rFonts w:hint="default" w:ascii="Calibri" w:hAnsi="Calibri" w:eastAsia="Calibri" w:cs="Calibri"/>
                <w:color w:val="333333"/>
                <w:sz w:val="19"/>
                <w:szCs w:val="19"/>
                <w:bdr w:val="none" w:color="auto" w:sz="0" w:space="0"/>
              </w:rPr>
              <w:t>“</w:t>
            </w:r>
            <w:r>
              <w:rPr>
                <w:rFonts w:hint="eastAsia" w:ascii="仿宋_GB2312" w:hAnsi="仿宋_GB2312" w:eastAsia="仿宋_GB2312" w:cs="仿宋_GB2312"/>
                <w:color w:val="333333"/>
                <w:sz w:val="19"/>
                <w:szCs w:val="19"/>
                <w:bdr w:val="none" w:color="auto" w:sz="0" w:space="0"/>
              </w:rPr>
              <w:t>三安全一稳定</w:t>
            </w:r>
            <w:r>
              <w:rPr>
                <w:rFonts w:hint="default" w:ascii="Calibri" w:hAnsi="Calibri" w:eastAsia="Calibri" w:cs="Calibri"/>
                <w:color w:val="333333"/>
                <w:sz w:val="19"/>
                <w:szCs w:val="19"/>
                <w:bdr w:val="none" w:color="auto" w:sz="0" w:space="0"/>
              </w:rPr>
              <w:t>”</w:t>
            </w:r>
          </w:p>
        </w:tc>
        <w:tc>
          <w:tcPr>
            <w:tcW w:w="40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67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66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82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82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40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46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435" w:type="dxa"/>
            <w:vMerge w:val="continue"/>
            <w:tcBorders>
              <w:top w:val="nil"/>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289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both"/>
            </w:pPr>
            <w:r>
              <w:rPr>
                <w:rFonts w:hint="eastAsia" w:ascii="仿宋_GB2312" w:hAnsi="仿宋_GB2312" w:eastAsia="仿宋_GB2312" w:cs="仿宋_GB2312"/>
                <w:color w:val="333333"/>
                <w:sz w:val="19"/>
                <w:szCs w:val="19"/>
                <w:bdr w:val="none" w:color="auto" w:sz="0" w:space="0"/>
              </w:rPr>
              <w:t>4.保护第三方合法权益</w:t>
            </w:r>
          </w:p>
        </w:tc>
        <w:tc>
          <w:tcPr>
            <w:tcW w:w="40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67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66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82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82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40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46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435" w:type="dxa"/>
            <w:vMerge w:val="continue"/>
            <w:tcBorders>
              <w:top w:val="nil"/>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289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both"/>
            </w:pPr>
            <w:r>
              <w:rPr>
                <w:rFonts w:hint="eastAsia" w:ascii="仿宋_GB2312" w:hAnsi="仿宋_GB2312" w:eastAsia="仿宋_GB2312" w:cs="仿宋_GB2312"/>
                <w:color w:val="333333"/>
                <w:sz w:val="19"/>
                <w:szCs w:val="19"/>
                <w:bdr w:val="none" w:color="auto" w:sz="0" w:space="0"/>
              </w:rPr>
              <w:t>5.属于三类内部事务信息</w:t>
            </w:r>
          </w:p>
        </w:tc>
        <w:tc>
          <w:tcPr>
            <w:tcW w:w="40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67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66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82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82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40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46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435" w:type="dxa"/>
            <w:vMerge w:val="continue"/>
            <w:tcBorders>
              <w:top w:val="nil"/>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289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both"/>
            </w:pPr>
            <w:r>
              <w:rPr>
                <w:rFonts w:hint="eastAsia" w:ascii="仿宋_GB2312" w:hAnsi="仿宋_GB2312" w:eastAsia="仿宋_GB2312" w:cs="仿宋_GB2312"/>
                <w:color w:val="333333"/>
                <w:sz w:val="19"/>
                <w:szCs w:val="19"/>
                <w:bdr w:val="none" w:color="auto" w:sz="0" w:space="0"/>
              </w:rPr>
              <w:t>6.属于四类过程性信息</w:t>
            </w:r>
          </w:p>
        </w:tc>
        <w:tc>
          <w:tcPr>
            <w:tcW w:w="40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67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66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82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82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40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46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435" w:type="dxa"/>
            <w:vMerge w:val="continue"/>
            <w:tcBorders>
              <w:top w:val="nil"/>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289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both"/>
            </w:pPr>
            <w:r>
              <w:rPr>
                <w:rFonts w:hint="eastAsia" w:ascii="仿宋_GB2312" w:hAnsi="仿宋_GB2312" w:eastAsia="仿宋_GB2312" w:cs="仿宋_GB2312"/>
                <w:color w:val="333333"/>
                <w:sz w:val="19"/>
                <w:szCs w:val="19"/>
                <w:bdr w:val="none" w:color="auto" w:sz="0" w:space="0"/>
              </w:rPr>
              <w:t>7.属于行政执法案卷</w:t>
            </w:r>
          </w:p>
        </w:tc>
        <w:tc>
          <w:tcPr>
            <w:tcW w:w="40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67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66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82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82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40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46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435" w:type="dxa"/>
            <w:vMerge w:val="continue"/>
            <w:tcBorders>
              <w:top w:val="nil"/>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289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both"/>
            </w:pPr>
            <w:r>
              <w:rPr>
                <w:rFonts w:hint="eastAsia" w:ascii="仿宋_GB2312" w:hAnsi="仿宋_GB2312" w:eastAsia="仿宋_GB2312" w:cs="仿宋_GB2312"/>
                <w:color w:val="333333"/>
                <w:sz w:val="19"/>
                <w:szCs w:val="19"/>
                <w:bdr w:val="none" w:color="auto" w:sz="0" w:space="0"/>
              </w:rPr>
              <w:t>8.属于行政查询事项</w:t>
            </w:r>
          </w:p>
        </w:tc>
        <w:tc>
          <w:tcPr>
            <w:tcW w:w="40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67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66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82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82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40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46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435" w:type="dxa"/>
            <w:vMerge w:val="continue"/>
            <w:tcBorders>
              <w:top w:val="nil"/>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855" w:type="dxa"/>
            <w:vMerge w:val="restart"/>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both"/>
            </w:pPr>
            <w:r>
              <w:rPr>
                <w:rFonts w:hint="eastAsia" w:ascii="仿宋_GB2312" w:hAnsi="仿宋_GB2312" w:eastAsia="仿宋_GB2312" w:cs="仿宋_GB2312"/>
                <w:color w:val="333333"/>
                <w:sz w:val="19"/>
                <w:szCs w:val="19"/>
                <w:bdr w:val="none" w:color="auto" w:sz="0" w:space="0"/>
              </w:rPr>
              <w:t>（四）无法提供</w:t>
            </w:r>
          </w:p>
        </w:tc>
        <w:tc>
          <w:tcPr>
            <w:tcW w:w="289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both"/>
            </w:pPr>
            <w:r>
              <w:rPr>
                <w:rFonts w:hint="eastAsia" w:ascii="仿宋_GB2312" w:hAnsi="仿宋_GB2312" w:eastAsia="仿宋_GB2312" w:cs="仿宋_GB2312"/>
                <w:color w:val="333333"/>
                <w:sz w:val="19"/>
                <w:szCs w:val="19"/>
                <w:bdr w:val="none" w:color="auto" w:sz="0" w:space="0"/>
              </w:rPr>
              <w:t>1.本机关不掌握相关政府信息</w:t>
            </w:r>
          </w:p>
        </w:tc>
        <w:tc>
          <w:tcPr>
            <w:tcW w:w="40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67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66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82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82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40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46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435" w:type="dxa"/>
            <w:vMerge w:val="continue"/>
            <w:tcBorders>
              <w:top w:val="nil"/>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289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both"/>
            </w:pPr>
            <w:r>
              <w:rPr>
                <w:rFonts w:hint="eastAsia" w:ascii="仿宋_GB2312" w:hAnsi="仿宋_GB2312" w:eastAsia="仿宋_GB2312" w:cs="仿宋_GB2312"/>
                <w:color w:val="333333"/>
                <w:sz w:val="19"/>
                <w:szCs w:val="19"/>
                <w:bdr w:val="none" w:color="auto" w:sz="0" w:space="0"/>
              </w:rPr>
              <w:t>2.没有现成信息需要另行制作</w:t>
            </w:r>
          </w:p>
        </w:tc>
        <w:tc>
          <w:tcPr>
            <w:tcW w:w="40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67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66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82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82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40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46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435" w:type="dxa"/>
            <w:vMerge w:val="continue"/>
            <w:tcBorders>
              <w:top w:val="nil"/>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289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both"/>
            </w:pPr>
            <w:r>
              <w:rPr>
                <w:rFonts w:hint="eastAsia" w:ascii="仿宋_GB2312" w:hAnsi="仿宋_GB2312" w:eastAsia="仿宋_GB2312" w:cs="仿宋_GB2312"/>
                <w:color w:val="333333"/>
                <w:sz w:val="19"/>
                <w:szCs w:val="19"/>
                <w:bdr w:val="none" w:color="auto" w:sz="0" w:space="0"/>
              </w:rPr>
              <w:t>3.补正后申请内容仍不明确</w:t>
            </w:r>
          </w:p>
        </w:tc>
        <w:tc>
          <w:tcPr>
            <w:tcW w:w="40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67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66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82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82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40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46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trPr>
        <w:tc>
          <w:tcPr>
            <w:tcW w:w="435" w:type="dxa"/>
            <w:vMerge w:val="continue"/>
            <w:tcBorders>
              <w:top w:val="nil"/>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855" w:type="dxa"/>
            <w:vMerge w:val="restart"/>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both"/>
            </w:pPr>
            <w:r>
              <w:rPr>
                <w:rFonts w:hint="eastAsia" w:ascii="仿宋_GB2312" w:hAnsi="仿宋_GB2312" w:eastAsia="仿宋_GB2312" w:cs="仿宋_GB2312"/>
                <w:color w:val="333333"/>
                <w:sz w:val="19"/>
                <w:szCs w:val="19"/>
                <w:bdr w:val="none" w:color="auto" w:sz="0" w:space="0"/>
              </w:rPr>
              <w:t>（五）不予处理</w:t>
            </w:r>
          </w:p>
        </w:tc>
        <w:tc>
          <w:tcPr>
            <w:tcW w:w="289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both"/>
            </w:pPr>
            <w:r>
              <w:rPr>
                <w:rFonts w:hint="eastAsia" w:ascii="仿宋_GB2312" w:hAnsi="仿宋_GB2312" w:eastAsia="仿宋_GB2312" w:cs="仿宋_GB2312"/>
                <w:color w:val="333333"/>
                <w:sz w:val="19"/>
                <w:szCs w:val="19"/>
                <w:bdr w:val="none" w:color="auto" w:sz="0" w:space="0"/>
              </w:rPr>
              <w:t>1.信访举报投诉类申请</w:t>
            </w:r>
          </w:p>
        </w:tc>
        <w:tc>
          <w:tcPr>
            <w:tcW w:w="40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67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66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82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82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40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46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435" w:type="dxa"/>
            <w:vMerge w:val="continue"/>
            <w:tcBorders>
              <w:top w:val="nil"/>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289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both"/>
            </w:pPr>
            <w:r>
              <w:rPr>
                <w:rFonts w:hint="eastAsia" w:ascii="仿宋_GB2312" w:hAnsi="仿宋_GB2312" w:eastAsia="仿宋_GB2312" w:cs="仿宋_GB2312"/>
                <w:color w:val="333333"/>
                <w:sz w:val="19"/>
                <w:szCs w:val="19"/>
                <w:bdr w:val="none" w:color="auto" w:sz="0" w:space="0"/>
              </w:rPr>
              <w:t>2.重复申请</w:t>
            </w:r>
          </w:p>
        </w:tc>
        <w:tc>
          <w:tcPr>
            <w:tcW w:w="40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67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66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82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82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40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46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435" w:type="dxa"/>
            <w:vMerge w:val="continue"/>
            <w:tcBorders>
              <w:top w:val="nil"/>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289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both"/>
            </w:pPr>
            <w:r>
              <w:rPr>
                <w:rFonts w:hint="eastAsia" w:ascii="仿宋_GB2312" w:hAnsi="仿宋_GB2312" w:eastAsia="仿宋_GB2312" w:cs="仿宋_GB2312"/>
                <w:color w:val="333333"/>
                <w:sz w:val="19"/>
                <w:szCs w:val="19"/>
                <w:bdr w:val="none" w:color="auto" w:sz="0" w:space="0"/>
              </w:rPr>
              <w:t>3.要求提供公开出版物</w:t>
            </w:r>
          </w:p>
        </w:tc>
        <w:tc>
          <w:tcPr>
            <w:tcW w:w="40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67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66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82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82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40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46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435" w:type="dxa"/>
            <w:vMerge w:val="continue"/>
            <w:tcBorders>
              <w:top w:val="nil"/>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289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both"/>
            </w:pPr>
            <w:r>
              <w:rPr>
                <w:rFonts w:hint="eastAsia" w:ascii="仿宋_GB2312" w:hAnsi="仿宋_GB2312" w:eastAsia="仿宋_GB2312" w:cs="仿宋_GB2312"/>
                <w:color w:val="333333"/>
                <w:sz w:val="19"/>
                <w:szCs w:val="19"/>
                <w:bdr w:val="none" w:color="auto" w:sz="0" w:space="0"/>
              </w:rPr>
              <w:t>4.无正当理由大量反复申请</w:t>
            </w:r>
          </w:p>
        </w:tc>
        <w:tc>
          <w:tcPr>
            <w:tcW w:w="40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67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66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82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82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40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46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435" w:type="dxa"/>
            <w:vMerge w:val="continue"/>
            <w:tcBorders>
              <w:top w:val="nil"/>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289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both"/>
            </w:pPr>
            <w:r>
              <w:rPr>
                <w:rFonts w:hint="eastAsia" w:ascii="仿宋_GB2312" w:hAnsi="仿宋_GB2312" w:eastAsia="仿宋_GB2312" w:cs="仿宋_GB2312"/>
                <w:color w:val="333333"/>
                <w:sz w:val="19"/>
                <w:szCs w:val="19"/>
                <w:bdr w:val="none" w:color="auto" w:sz="0" w:space="0"/>
              </w:rPr>
              <w:t>5.要求行政机关确认或重新出具已获取信息</w:t>
            </w:r>
          </w:p>
        </w:tc>
        <w:tc>
          <w:tcPr>
            <w:tcW w:w="40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67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66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82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82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40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46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435" w:type="dxa"/>
            <w:vMerge w:val="continue"/>
            <w:tcBorders>
              <w:top w:val="nil"/>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3750" w:type="dxa"/>
            <w:gridSpan w:val="2"/>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both"/>
            </w:pPr>
            <w:r>
              <w:rPr>
                <w:rFonts w:hint="eastAsia" w:ascii="仿宋_GB2312" w:hAnsi="仿宋_GB2312" w:eastAsia="仿宋_GB2312" w:cs="仿宋_GB2312"/>
                <w:color w:val="333333"/>
                <w:sz w:val="19"/>
                <w:szCs w:val="19"/>
                <w:bdr w:val="none" w:color="auto" w:sz="0" w:space="0"/>
              </w:rPr>
              <w:t>（六）其他处理</w:t>
            </w:r>
          </w:p>
        </w:tc>
        <w:tc>
          <w:tcPr>
            <w:tcW w:w="40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67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66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82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82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40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46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435" w:type="dxa"/>
            <w:vMerge w:val="continue"/>
            <w:tcBorders>
              <w:top w:val="nil"/>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3750" w:type="dxa"/>
            <w:gridSpan w:val="2"/>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both"/>
            </w:pPr>
            <w:r>
              <w:rPr>
                <w:rFonts w:hint="eastAsia" w:ascii="仿宋_GB2312" w:hAnsi="仿宋_GB2312" w:eastAsia="仿宋_GB2312" w:cs="仿宋_GB2312"/>
                <w:color w:val="333333"/>
                <w:sz w:val="19"/>
                <w:szCs w:val="19"/>
                <w:bdr w:val="none" w:color="auto" w:sz="0" w:space="0"/>
              </w:rPr>
              <w:t>（七）总计</w:t>
            </w:r>
          </w:p>
        </w:tc>
        <w:tc>
          <w:tcPr>
            <w:tcW w:w="40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67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66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82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82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40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46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4200" w:type="dxa"/>
            <w:gridSpan w:val="3"/>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both"/>
            </w:pPr>
            <w:r>
              <w:rPr>
                <w:rFonts w:hint="eastAsia" w:ascii="仿宋_GB2312" w:hAnsi="仿宋_GB2312" w:eastAsia="仿宋_GB2312" w:cs="仿宋_GB2312"/>
                <w:color w:val="333333"/>
                <w:sz w:val="19"/>
                <w:szCs w:val="19"/>
                <w:bdr w:val="none" w:color="auto" w:sz="0" w:space="0"/>
              </w:rPr>
              <w:t>四、结转下年度继续办理</w:t>
            </w:r>
          </w:p>
        </w:tc>
        <w:tc>
          <w:tcPr>
            <w:tcW w:w="40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67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66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82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82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40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default" w:ascii="Times New Roman" w:hAnsi="Times New Roman" w:cs="Times New Roman"/>
                <w:sz w:val="19"/>
                <w:szCs w:val="19"/>
                <w:bdr w:val="none" w:color="auto" w:sz="0" w:space="0"/>
              </w:rPr>
              <w:t>0</w:t>
            </w:r>
          </w:p>
        </w:tc>
        <w:tc>
          <w:tcPr>
            <w:tcW w:w="46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Times New Roman" w:hAnsi="Times New Roman" w:cs="Times New Roman"/>
                <w:sz w:val="19"/>
                <w:szCs w:val="19"/>
                <w:bdr w:val="none" w:color="auto" w:sz="0" w:space="0"/>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05"/>
        <w:jc w:val="both"/>
      </w:pPr>
      <w:r>
        <w:rPr>
          <w:rStyle w:val="5"/>
          <w:rFonts w:hint="eastAsia" w:ascii="仿宋_GB2312" w:hAnsi="仿宋_GB2312" w:eastAsia="仿宋_GB2312" w:cs="仿宋_GB2312"/>
          <w:i w:val="0"/>
          <w:iCs w:val="0"/>
          <w:caps w:val="0"/>
          <w:color w:val="333333"/>
          <w:spacing w:val="0"/>
          <w:sz w:val="19"/>
          <w:szCs w:val="19"/>
          <w:bdr w:val="none" w:color="auto" w:sz="0" w:space="0"/>
          <w:shd w:val="clear" w:fill="FFFFFF"/>
        </w:rPr>
        <w:t>注：</w:t>
      </w:r>
      <w:r>
        <w:rPr>
          <w:rFonts w:hint="eastAsia" w:ascii="仿宋_GB2312" w:hAnsi="仿宋_GB2312" w:eastAsia="仿宋_GB2312" w:cs="仿宋_GB2312"/>
          <w:i w:val="0"/>
          <w:iCs w:val="0"/>
          <w:caps w:val="0"/>
          <w:color w:val="333333"/>
          <w:spacing w:val="0"/>
          <w:sz w:val="19"/>
          <w:szCs w:val="19"/>
          <w:bdr w:val="none" w:color="auto" w:sz="0" w:space="0"/>
          <w:shd w:val="clear" w:fill="FFFFFF"/>
        </w:rPr>
        <w:t>1.这一项主要报告两方面情况：一是申请人的类别；二是政府信息公开申请的最终处理结果。此项内容重在数据准确、要素齐备，全面客观反映政府信息公开申请接收和办理情况，便于政府信息公开工作主管部门全面掌握工作动态，使社会各界了解政府公开透明进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05"/>
        <w:jc w:val="both"/>
      </w:pPr>
      <w:r>
        <w:rPr>
          <w:rFonts w:hint="eastAsia" w:ascii="仿宋_GB2312" w:hAnsi="仿宋_GB2312" w:eastAsia="仿宋_GB2312" w:cs="仿宋_GB2312"/>
          <w:i w:val="0"/>
          <w:iCs w:val="0"/>
          <w:caps w:val="0"/>
          <w:color w:val="333333"/>
          <w:spacing w:val="0"/>
          <w:sz w:val="19"/>
          <w:szCs w:val="19"/>
          <w:bdr w:val="none" w:color="auto" w:sz="0" w:space="0"/>
          <w:shd w:val="clear" w:fill="FFFFFF"/>
        </w:rPr>
        <w:t>2.</w:t>
      </w:r>
      <w:r>
        <w:rPr>
          <w:rFonts w:hint="default" w:ascii="Calibri" w:hAnsi="Calibri" w:eastAsia="Calibri" w:cs="Calibri"/>
          <w:i w:val="0"/>
          <w:iCs w:val="0"/>
          <w:caps w:val="0"/>
          <w:color w:val="333333"/>
          <w:spacing w:val="0"/>
          <w:sz w:val="19"/>
          <w:szCs w:val="19"/>
          <w:bdr w:val="none" w:color="auto" w:sz="0" w:space="0"/>
          <w:shd w:val="clear" w:fill="FFFFFF"/>
        </w:rPr>
        <w:t>“</w:t>
      </w:r>
      <w:r>
        <w:rPr>
          <w:rFonts w:hint="eastAsia" w:ascii="仿宋_GB2312" w:hAnsi="仿宋_GB2312" w:eastAsia="仿宋_GB2312" w:cs="仿宋_GB2312"/>
          <w:i w:val="0"/>
          <w:iCs w:val="0"/>
          <w:caps w:val="0"/>
          <w:color w:val="333333"/>
          <w:spacing w:val="0"/>
          <w:sz w:val="19"/>
          <w:szCs w:val="19"/>
          <w:bdr w:val="none" w:color="auto" w:sz="0" w:space="0"/>
          <w:shd w:val="clear" w:fill="FFFFFF"/>
        </w:rPr>
        <w:t>其他处理</w:t>
      </w:r>
      <w:r>
        <w:rPr>
          <w:rFonts w:hint="default" w:ascii="Calibri" w:hAnsi="Calibri" w:eastAsia="Calibri" w:cs="Calibri"/>
          <w:i w:val="0"/>
          <w:iCs w:val="0"/>
          <w:caps w:val="0"/>
          <w:color w:val="333333"/>
          <w:spacing w:val="0"/>
          <w:sz w:val="19"/>
          <w:szCs w:val="19"/>
          <w:bdr w:val="none" w:color="auto" w:sz="0" w:space="0"/>
          <w:shd w:val="clear" w:fill="FFFFFF"/>
        </w:rPr>
        <w:t>”</w:t>
      </w:r>
      <w:r>
        <w:rPr>
          <w:rFonts w:hint="eastAsia" w:ascii="仿宋_GB2312" w:hAnsi="仿宋_GB2312" w:eastAsia="仿宋_GB2312" w:cs="仿宋_GB2312"/>
          <w:i w:val="0"/>
          <w:iCs w:val="0"/>
          <w:caps w:val="0"/>
          <w:color w:val="333333"/>
          <w:spacing w:val="0"/>
          <w:sz w:val="19"/>
          <w:szCs w:val="19"/>
          <w:bdr w:val="none" w:color="auto" w:sz="0" w:space="0"/>
          <w:shd w:val="clear" w:fill="FFFFFF"/>
        </w:rPr>
        <w:t>项目，主要是考虑新旧条例执行衔接以及极少数特殊情况。原则上，所有的政府信息公开申请，都应当按照法定的处理方式做出处理。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pPr>
      <w:r>
        <w:rPr>
          <w:rFonts w:hint="default" w:ascii="Calibri" w:hAnsi="Calibri" w:eastAsia="Calibri" w:cs="Calibri"/>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05"/>
        <w:jc w:val="both"/>
      </w:pPr>
      <w:r>
        <w:rPr>
          <w:rFonts w:hint="eastAsia" w:ascii="黑体" w:hAnsi="宋体" w:eastAsia="黑体" w:cs="黑体"/>
          <w:i w:val="0"/>
          <w:iCs w:val="0"/>
          <w:caps w:val="0"/>
          <w:color w:val="333333"/>
          <w:spacing w:val="0"/>
          <w:sz w:val="31"/>
          <w:szCs w:val="31"/>
          <w:bdr w:val="none" w:color="auto" w:sz="0" w:space="0"/>
          <w:shd w:val="clear" w:fill="FFFFFF"/>
        </w:rPr>
        <w:t>四、政府信息公开行政复议、行政诉讼情况</w:t>
      </w:r>
    </w:p>
    <w:tbl>
      <w:tblPr>
        <w:tblW w:w="0" w:type="auto"/>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57"/>
        <w:gridCol w:w="542"/>
        <w:gridCol w:w="499"/>
        <w:gridCol w:w="484"/>
        <w:gridCol w:w="471"/>
        <w:gridCol w:w="427"/>
        <w:gridCol w:w="587"/>
        <w:gridCol w:w="587"/>
        <w:gridCol w:w="587"/>
        <w:gridCol w:w="616"/>
        <w:gridCol w:w="587"/>
        <w:gridCol w:w="587"/>
        <w:gridCol w:w="587"/>
        <w:gridCol w:w="587"/>
        <w:gridCol w:w="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610" w:type="dxa"/>
            <w:gridSpan w:val="5"/>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color w:val="333333"/>
                <w:sz w:val="19"/>
                <w:szCs w:val="19"/>
                <w:bdr w:val="none" w:color="auto" w:sz="0" w:space="0"/>
              </w:rPr>
              <w:t>行政复议</w:t>
            </w:r>
          </w:p>
        </w:tc>
        <w:tc>
          <w:tcPr>
            <w:tcW w:w="5880" w:type="dxa"/>
            <w:gridSpan w:val="10"/>
            <w:tcBorders>
              <w:top w:val="single" w:color="000000" w:sz="6" w:space="0"/>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color w:val="333333"/>
                <w:sz w:val="19"/>
                <w:szCs w:val="19"/>
                <w:bdr w:val="none" w:color="auto" w:sz="0" w:space="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570" w:type="dxa"/>
            <w:vMerge w:val="restart"/>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color w:val="333333"/>
                <w:sz w:val="19"/>
                <w:szCs w:val="19"/>
                <w:bdr w:val="none" w:color="auto" w:sz="0" w:space="0"/>
              </w:rPr>
              <w:t>结果维持</w:t>
            </w:r>
          </w:p>
        </w:tc>
        <w:tc>
          <w:tcPr>
            <w:tcW w:w="555" w:type="dxa"/>
            <w:vMerge w:val="restart"/>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color w:val="333333"/>
                <w:sz w:val="19"/>
                <w:szCs w:val="19"/>
                <w:bdr w:val="none" w:color="auto" w:sz="0" w:space="0"/>
              </w:rPr>
              <w:t>结果纠正</w:t>
            </w:r>
          </w:p>
        </w:tc>
        <w:tc>
          <w:tcPr>
            <w:tcW w:w="510" w:type="dxa"/>
            <w:vMerge w:val="restart"/>
            <w:tcBorders>
              <w:top w:val="single" w:color="000000" w:sz="6" w:space="0"/>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color w:val="333333"/>
                <w:sz w:val="19"/>
                <w:szCs w:val="19"/>
                <w:bdr w:val="none" w:color="auto" w:sz="0" w:space="0"/>
              </w:rPr>
              <w:t>其他结果</w:t>
            </w:r>
          </w:p>
        </w:tc>
        <w:tc>
          <w:tcPr>
            <w:tcW w:w="495" w:type="dxa"/>
            <w:vMerge w:val="restart"/>
            <w:tcBorders>
              <w:top w:val="single" w:color="000000" w:sz="6" w:space="0"/>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color w:val="333333"/>
                <w:sz w:val="19"/>
                <w:szCs w:val="19"/>
                <w:bdr w:val="none" w:color="auto" w:sz="0" w:space="0"/>
              </w:rPr>
              <w:t>尚未审结</w:t>
            </w:r>
          </w:p>
        </w:tc>
        <w:tc>
          <w:tcPr>
            <w:tcW w:w="480" w:type="dxa"/>
            <w:vMerge w:val="restart"/>
            <w:tcBorders>
              <w:top w:val="single" w:color="000000" w:sz="6" w:space="0"/>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color w:val="333333"/>
                <w:sz w:val="19"/>
                <w:szCs w:val="19"/>
                <w:bdr w:val="none" w:color="auto" w:sz="0" w:space="0"/>
              </w:rPr>
              <w:t>总计</w:t>
            </w:r>
          </w:p>
        </w:tc>
        <w:tc>
          <w:tcPr>
            <w:tcW w:w="2865" w:type="dxa"/>
            <w:gridSpan w:val="5"/>
            <w:tcBorders>
              <w:top w:val="single" w:color="000000" w:sz="6" w:space="0"/>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color w:val="333333"/>
                <w:sz w:val="19"/>
                <w:szCs w:val="19"/>
                <w:bdr w:val="none" w:color="auto" w:sz="0" w:space="0"/>
              </w:rPr>
              <w:t>未经复议直接起诉</w:t>
            </w:r>
          </w:p>
        </w:tc>
        <w:tc>
          <w:tcPr>
            <w:tcW w:w="3030" w:type="dxa"/>
            <w:gridSpan w:val="5"/>
            <w:tcBorders>
              <w:top w:val="single" w:color="000000" w:sz="6" w:space="0"/>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color w:val="333333"/>
                <w:sz w:val="19"/>
                <w:szCs w:val="19"/>
                <w:bdr w:val="none" w:color="auto" w:sz="0" w:space="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570" w:type="dxa"/>
            <w:vMerge w:val="continue"/>
            <w:tcBorders>
              <w:top w:val="nil"/>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555" w:type="dxa"/>
            <w:vMerge w:val="continue"/>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510" w:type="dxa"/>
            <w:vMerge w:val="continue"/>
            <w:tcBorders>
              <w:top w:val="single" w:color="000000" w:sz="6" w:space="0"/>
              <w:left w:val="nil"/>
              <w:bottom w:val="single" w:color="000000" w:sz="6" w:space="0"/>
              <w:right w:val="single" w:color="000000" w:sz="6" w:space="0"/>
            </w:tcBorders>
            <w:shd w:val="clear"/>
            <w:vAlign w:val="center"/>
          </w:tcPr>
          <w:p>
            <w:pPr>
              <w:rPr>
                <w:rFonts w:hint="eastAsia" w:ascii="宋体"/>
                <w:sz w:val="24"/>
                <w:szCs w:val="24"/>
              </w:rPr>
            </w:pPr>
          </w:p>
        </w:tc>
        <w:tc>
          <w:tcPr>
            <w:tcW w:w="495" w:type="dxa"/>
            <w:vMerge w:val="continue"/>
            <w:tcBorders>
              <w:top w:val="single" w:color="000000" w:sz="6" w:space="0"/>
              <w:left w:val="nil"/>
              <w:bottom w:val="single" w:color="000000" w:sz="6" w:space="0"/>
              <w:right w:val="single" w:color="000000" w:sz="6" w:space="0"/>
            </w:tcBorders>
            <w:shd w:val="clear"/>
            <w:vAlign w:val="center"/>
          </w:tcPr>
          <w:p>
            <w:pPr>
              <w:rPr>
                <w:rFonts w:hint="eastAsia" w:ascii="宋体"/>
                <w:sz w:val="24"/>
                <w:szCs w:val="24"/>
              </w:rPr>
            </w:pPr>
          </w:p>
        </w:tc>
        <w:tc>
          <w:tcPr>
            <w:tcW w:w="480" w:type="dxa"/>
            <w:vMerge w:val="continue"/>
            <w:tcBorders>
              <w:top w:val="single" w:color="000000" w:sz="6" w:space="0"/>
              <w:left w:val="nil"/>
              <w:bottom w:val="single" w:color="000000" w:sz="6" w:space="0"/>
              <w:right w:val="single" w:color="000000" w:sz="6" w:space="0"/>
            </w:tcBorders>
            <w:shd w:val="clear"/>
            <w:vAlign w:val="center"/>
          </w:tcPr>
          <w:p>
            <w:pPr>
              <w:rPr>
                <w:rFonts w:hint="eastAsia" w:ascii="宋体"/>
                <w:sz w:val="24"/>
                <w:szCs w:val="24"/>
              </w:rPr>
            </w:pPr>
          </w:p>
        </w:tc>
        <w:tc>
          <w:tcPr>
            <w:tcW w:w="43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color w:val="333333"/>
                <w:sz w:val="19"/>
                <w:szCs w:val="19"/>
                <w:bdr w:val="none" w:color="auto" w:sz="0" w:space="0"/>
              </w:rPr>
              <w:t>结果维持</w:t>
            </w:r>
          </w:p>
        </w:tc>
        <w:tc>
          <w:tcPr>
            <w:tcW w:w="60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color w:val="333333"/>
                <w:sz w:val="19"/>
                <w:szCs w:val="19"/>
                <w:bdr w:val="none" w:color="auto" w:sz="0" w:space="0"/>
              </w:rPr>
              <w:t>结果纠正</w:t>
            </w:r>
          </w:p>
        </w:tc>
        <w:tc>
          <w:tcPr>
            <w:tcW w:w="600" w:type="dxa"/>
            <w:tcBorders>
              <w:top w:val="single" w:color="000000" w:sz="6" w:space="0"/>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color w:val="333333"/>
                <w:sz w:val="19"/>
                <w:szCs w:val="19"/>
                <w:bdr w:val="none" w:color="auto" w:sz="0" w:space="0"/>
              </w:rPr>
              <w:t>其他结果</w:t>
            </w:r>
          </w:p>
        </w:tc>
        <w:tc>
          <w:tcPr>
            <w:tcW w:w="600" w:type="dxa"/>
            <w:tcBorders>
              <w:top w:val="single" w:color="000000" w:sz="6" w:space="0"/>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color w:val="333333"/>
                <w:sz w:val="19"/>
                <w:szCs w:val="19"/>
                <w:bdr w:val="none" w:color="auto" w:sz="0" w:space="0"/>
              </w:rPr>
              <w:t>尚未审结</w:t>
            </w:r>
          </w:p>
        </w:tc>
        <w:tc>
          <w:tcPr>
            <w:tcW w:w="600" w:type="dxa"/>
            <w:tcBorders>
              <w:top w:val="single" w:color="000000" w:sz="6" w:space="0"/>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sz w:val="19"/>
                <w:szCs w:val="19"/>
                <w:bdr w:val="none" w:color="auto" w:sz="0" w:space="0"/>
              </w:rPr>
              <w:t>总计</w:t>
            </w:r>
          </w:p>
        </w:tc>
        <w:tc>
          <w:tcPr>
            <w:tcW w:w="600" w:type="dxa"/>
            <w:tcBorders>
              <w:top w:val="single" w:color="000000" w:sz="6" w:space="0"/>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color w:val="333333"/>
                <w:sz w:val="19"/>
                <w:szCs w:val="19"/>
                <w:bdr w:val="none" w:color="auto" w:sz="0" w:space="0"/>
              </w:rPr>
              <w:t>结果维持</w:t>
            </w:r>
          </w:p>
        </w:tc>
        <w:tc>
          <w:tcPr>
            <w:tcW w:w="600" w:type="dxa"/>
            <w:tcBorders>
              <w:top w:val="single" w:color="000000" w:sz="6" w:space="0"/>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color w:val="333333"/>
                <w:sz w:val="19"/>
                <w:szCs w:val="19"/>
                <w:bdr w:val="none" w:color="auto" w:sz="0" w:space="0"/>
              </w:rPr>
              <w:t>结果纠正</w:t>
            </w:r>
          </w:p>
        </w:tc>
        <w:tc>
          <w:tcPr>
            <w:tcW w:w="600" w:type="dxa"/>
            <w:tcBorders>
              <w:top w:val="single" w:color="000000" w:sz="6" w:space="0"/>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sz w:val="19"/>
                <w:szCs w:val="19"/>
                <w:bdr w:val="none" w:color="auto" w:sz="0" w:space="0"/>
              </w:rPr>
              <w:t>其他结果</w:t>
            </w:r>
          </w:p>
        </w:tc>
        <w:tc>
          <w:tcPr>
            <w:tcW w:w="600" w:type="dxa"/>
            <w:tcBorders>
              <w:top w:val="single" w:color="000000" w:sz="6" w:space="0"/>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color w:val="333333"/>
                <w:sz w:val="19"/>
                <w:szCs w:val="19"/>
                <w:bdr w:val="none" w:color="auto" w:sz="0" w:space="0"/>
              </w:rPr>
              <w:t>尚未审结</w:t>
            </w:r>
          </w:p>
        </w:tc>
        <w:tc>
          <w:tcPr>
            <w:tcW w:w="600" w:type="dxa"/>
            <w:tcBorders>
              <w:top w:val="single" w:color="000000" w:sz="6" w:space="0"/>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sz w:val="19"/>
                <w:szCs w:val="19"/>
                <w:bdr w:val="none" w:color="auto" w:sz="0" w:space="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570" w:type="dxa"/>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color w:val="333333"/>
                <w:sz w:val="24"/>
                <w:szCs w:val="24"/>
                <w:bdr w:val="none" w:color="auto" w:sz="0" w:space="0"/>
              </w:rPr>
              <w:t>0</w:t>
            </w:r>
          </w:p>
        </w:tc>
        <w:tc>
          <w:tcPr>
            <w:tcW w:w="55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color w:val="333333"/>
                <w:sz w:val="24"/>
                <w:szCs w:val="24"/>
                <w:bdr w:val="none" w:color="auto" w:sz="0" w:space="0"/>
              </w:rPr>
              <w:t>0</w:t>
            </w:r>
          </w:p>
        </w:tc>
        <w:tc>
          <w:tcPr>
            <w:tcW w:w="51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color w:val="333333"/>
                <w:sz w:val="24"/>
                <w:szCs w:val="24"/>
                <w:bdr w:val="none" w:color="auto" w:sz="0" w:space="0"/>
              </w:rPr>
              <w:t>0</w:t>
            </w:r>
          </w:p>
        </w:tc>
        <w:tc>
          <w:tcPr>
            <w:tcW w:w="49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color w:val="333333"/>
                <w:sz w:val="24"/>
                <w:szCs w:val="24"/>
                <w:bdr w:val="none" w:color="auto" w:sz="0" w:space="0"/>
              </w:rPr>
              <w:t>0</w:t>
            </w:r>
          </w:p>
        </w:tc>
        <w:tc>
          <w:tcPr>
            <w:tcW w:w="48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color w:val="333333"/>
                <w:sz w:val="24"/>
                <w:szCs w:val="24"/>
                <w:bdr w:val="none" w:color="auto" w:sz="0" w:space="0"/>
              </w:rPr>
              <w:t>0</w:t>
            </w:r>
          </w:p>
        </w:tc>
        <w:tc>
          <w:tcPr>
            <w:tcW w:w="43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color w:val="333333"/>
                <w:sz w:val="24"/>
                <w:szCs w:val="24"/>
                <w:bdr w:val="none" w:color="auto" w:sz="0" w:space="0"/>
              </w:rPr>
              <w:t>0</w:t>
            </w:r>
          </w:p>
        </w:tc>
        <w:tc>
          <w:tcPr>
            <w:tcW w:w="60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color w:val="333333"/>
                <w:sz w:val="24"/>
                <w:szCs w:val="24"/>
                <w:bdr w:val="none" w:color="auto" w:sz="0" w:space="0"/>
              </w:rPr>
              <w:t>0</w:t>
            </w:r>
          </w:p>
        </w:tc>
        <w:tc>
          <w:tcPr>
            <w:tcW w:w="60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color w:val="333333"/>
                <w:sz w:val="24"/>
                <w:szCs w:val="24"/>
                <w:bdr w:val="none" w:color="auto" w:sz="0" w:space="0"/>
              </w:rPr>
              <w:t>0</w:t>
            </w:r>
          </w:p>
        </w:tc>
        <w:tc>
          <w:tcPr>
            <w:tcW w:w="60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color w:val="333333"/>
                <w:sz w:val="24"/>
                <w:szCs w:val="24"/>
                <w:bdr w:val="none" w:color="auto" w:sz="0" w:space="0"/>
              </w:rPr>
              <w:t>0</w:t>
            </w:r>
          </w:p>
        </w:tc>
        <w:tc>
          <w:tcPr>
            <w:tcW w:w="60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color w:val="333333"/>
                <w:sz w:val="24"/>
                <w:szCs w:val="24"/>
                <w:bdr w:val="none" w:color="auto" w:sz="0" w:space="0"/>
              </w:rPr>
              <w:t>0</w:t>
            </w:r>
          </w:p>
        </w:tc>
        <w:tc>
          <w:tcPr>
            <w:tcW w:w="60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color w:val="333333"/>
                <w:sz w:val="24"/>
                <w:szCs w:val="24"/>
                <w:bdr w:val="none" w:color="auto" w:sz="0" w:space="0"/>
              </w:rPr>
              <w:t>0</w:t>
            </w:r>
          </w:p>
        </w:tc>
        <w:tc>
          <w:tcPr>
            <w:tcW w:w="60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color w:val="333333"/>
                <w:sz w:val="24"/>
                <w:szCs w:val="24"/>
                <w:bdr w:val="none" w:color="auto" w:sz="0" w:space="0"/>
              </w:rPr>
              <w:t>0</w:t>
            </w:r>
          </w:p>
        </w:tc>
        <w:tc>
          <w:tcPr>
            <w:tcW w:w="60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color w:val="333333"/>
                <w:sz w:val="24"/>
                <w:szCs w:val="24"/>
                <w:bdr w:val="none" w:color="auto" w:sz="0" w:space="0"/>
              </w:rPr>
              <w:t>0</w:t>
            </w:r>
          </w:p>
        </w:tc>
        <w:tc>
          <w:tcPr>
            <w:tcW w:w="60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jc w:val="center"/>
            </w:pPr>
            <w:r>
              <w:rPr>
                <w:rFonts w:hint="eastAsia" w:ascii="仿宋_GB2312" w:hAnsi="仿宋_GB2312" w:eastAsia="仿宋_GB2312" w:cs="仿宋_GB2312"/>
                <w:color w:val="333333"/>
                <w:sz w:val="24"/>
                <w:szCs w:val="24"/>
                <w:bdr w:val="none" w:color="auto" w:sz="0" w:space="0"/>
              </w:rPr>
              <w:t>0</w:t>
            </w:r>
          </w:p>
        </w:tc>
        <w:tc>
          <w:tcPr>
            <w:tcW w:w="60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_GB2312" w:hAnsi="仿宋_GB2312" w:eastAsia="仿宋_GB2312" w:cs="仿宋_GB2312"/>
                <w:color w:val="333333"/>
                <w:sz w:val="18"/>
                <w:szCs w:val="18"/>
                <w:bdr w:val="none" w:color="auto" w:sz="0" w:space="0"/>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05"/>
        <w:jc w:val="both"/>
      </w:pPr>
      <w:r>
        <w:rPr>
          <w:rStyle w:val="5"/>
          <w:rFonts w:hint="eastAsia" w:ascii="仿宋_GB2312" w:hAnsi="仿宋_GB2312" w:eastAsia="仿宋_GB2312" w:cs="仿宋_GB2312"/>
          <w:i w:val="0"/>
          <w:iCs w:val="0"/>
          <w:caps w:val="0"/>
          <w:color w:val="333333"/>
          <w:spacing w:val="0"/>
          <w:sz w:val="19"/>
          <w:szCs w:val="19"/>
          <w:bdr w:val="none" w:color="auto" w:sz="0" w:space="0"/>
          <w:shd w:val="clear" w:fill="FFFFFF"/>
        </w:rPr>
        <w:t>注：</w:t>
      </w:r>
      <w:r>
        <w:rPr>
          <w:rFonts w:hint="eastAsia" w:ascii="仿宋_GB2312" w:hAnsi="仿宋_GB2312" w:eastAsia="仿宋_GB2312" w:cs="仿宋_GB2312"/>
          <w:i w:val="0"/>
          <w:iCs w:val="0"/>
          <w:caps w:val="0"/>
          <w:color w:val="333333"/>
          <w:spacing w:val="0"/>
          <w:sz w:val="19"/>
          <w:szCs w:val="19"/>
          <w:bdr w:val="none" w:color="auto" w:sz="0" w:space="0"/>
          <w:shd w:val="clear" w:fill="FFFFFF"/>
        </w:rPr>
        <w:t>1.根据行政复议法和行政诉讼法有关规定，行政诉讼处理结果需进一步区分两类情形，分别是</w:t>
      </w:r>
      <w:r>
        <w:rPr>
          <w:rFonts w:hint="default" w:ascii="Calibri" w:hAnsi="Calibri" w:eastAsia="Calibri" w:cs="Calibri"/>
          <w:i w:val="0"/>
          <w:iCs w:val="0"/>
          <w:caps w:val="0"/>
          <w:color w:val="333333"/>
          <w:spacing w:val="0"/>
          <w:sz w:val="19"/>
          <w:szCs w:val="19"/>
          <w:bdr w:val="none" w:color="auto" w:sz="0" w:space="0"/>
          <w:shd w:val="clear" w:fill="FFFFFF"/>
        </w:rPr>
        <w:t>“</w:t>
      </w:r>
      <w:r>
        <w:rPr>
          <w:rFonts w:hint="eastAsia" w:ascii="仿宋_GB2312" w:hAnsi="仿宋_GB2312" w:eastAsia="仿宋_GB2312" w:cs="仿宋_GB2312"/>
          <w:i w:val="0"/>
          <w:iCs w:val="0"/>
          <w:caps w:val="0"/>
          <w:color w:val="333333"/>
          <w:spacing w:val="0"/>
          <w:sz w:val="19"/>
          <w:szCs w:val="19"/>
          <w:bdr w:val="none" w:color="auto" w:sz="0" w:space="0"/>
          <w:shd w:val="clear" w:fill="FFFFFF"/>
        </w:rPr>
        <w:t>未经复议直接起诉</w:t>
      </w:r>
      <w:r>
        <w:rPr>
          <w:rFonts w:hint="default" w:ascii="Calibri" w:hAnsi="Calibri" w:eastAsia="Calibri" w:cs="Calibri"/>
          <w:i w:val="0"/>
          <w:iCs w:val="0"/>
          <w:caps w:val="0"/>
          <w:color w:val="333333"/>
          <w:spacing w:val="0"/>
          <w:sz w:val="19"/>
          <w:szCs w:val="19"/>
          <w:bdr w:val="none" w:color="auto" w:sz="0" w:space="0"/>
          <w:shd w:val="clear" w:fill="FFFFFF"/>
        </w:rPr>
        <w:t>”</w:t>
      </w:r>
      <w:r>
        <w:rPr>
          <w:rFonts w:hint="eastAsia" w:ascii="仿宋_GB2312" w:hAnsi="仿宋_GB2312" w:eastAsia="仿宋_GB2312" w:cs="仿宋_GB2312"/>
          <w:i w:val="0"/>
          <w:iCs w:val="0"/>
          <w:caps w:val="0"/>
          <w:color w:val="333333"/>
          <w:spacing w:val="0"/>
          <w:sz w:val="19"/>
          <w:szCs w:val="19"/>
          <w:bdr w:val="none" w:color="auto" w:sz="0" w:space="0"/>
          <w:shd w:val="clear" w:fill="FFFFFF"/>
        </w:rPr>
        <w:t>和</w:t>
      </w:r>
      <w:r>
        <w:rPr>
          <w:rFonts w:hint="default" w:ascii="Calibri" w:hAnsi="Calibri" w:eastAsia="Calibri" w:cs="Calibri"/>
          <w:i w:val="0"/>
          <w:iCs w:val="0"/>
          <w:caps w:val="0"/>
          <w:color w:val="333333"/>
          <w:spacing w:val="0"/>
          <w:sz w:val="19"/>
          <w:szCs w:val="19"/>
          <w:bdr w:val="none" w:color="auto" w:sz="0" w:space="0"/>
          <w:shd w:val="clear" w:fill="FFFFFF"/>
        </w:rPr>
        <w:t>“</w:t>
      </w:r>
      <w:r>
        <w:rPr>
          <w:rFonts w:hint="eastAsia" w:ascii="仿宋_GB2312" w:hAnsi="仿宋_GB2312" w:eastAsia="仿宋_GB2312" w:cs="仿宋_GB2312"/>
          <w:i w:val="0"/>
          <w:iCs w:val="0"/>
          <w:caps w:val="0"/>
          <w:color w:val="333333"/>
          <w:spacing w:val="0"/>
          <w:sz w:val="19"/>
          <w:szCs w:val="19"/>
          <w:bdr w:val="none" w:color="auto" w:sz="0" w:space="0"/>
          <w:shd w:val="clear" w:fill="FFFFFF"/>
        </w:rPr>
        <w:t>复议后起诉</w:t>
      </w:r>
      <w:r>
        <w:rPr>
          <w:rFonts w:hint="default" w:ascii="Calibri" w:hAnsi="Calibri" w:eastAsia="Calibri" w:cs="Calibri"/>
          <w:i w:val="0"/>
          <w:iCs w:val="0"/>
          <w:caps w:val="0"/>
          <w:color w:val="333333"/>
          <w:spacing w:val="0"/>
          <w:sz w:val="19"/>
          <w:szCs w:val="19"/>
          <w:bdr w:val="none" w:color="auto" w:sz="0" w:space="0"/>
          <w:shd w:val="clear" w:fill="FFFFFF"/>
        </w:rPr>
        <w:t>”</w:t>
      </w:r>
      <w:r>
        <w:rPr>
          <w:rFonts w:hint="eastAsia" w:ascii="仿宋_GB2312" w:hAnsi="仿宋_GB2312" w:eastAsia="仿宋_GB2312" w:cs="仿宋_GB2312"/>
          <w:i w:val="0"/>
          <w:iCs w:val="0"/>
          <w:caps w:val="0"/>
          <w:color w:val="333333"/>
          <w:spacing w:val="0"/>
          <w:sz w:val="19"/>
          <w:szCs w:val="19"/>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05"/>
        <w:jc w:val="both"/>
      </w:pPr>
      <w:r>
        <w:rPr>
          <w:rFonts w:hint="eastAsia" w:ascii="仿宋_GB2312" w:hAnsi="仿宋_GB2312" w:eastAsia="仿宋_GB2312" w:cs="仿宋_GB2312"/>
          <w:i w:val="0"/>
          <w:iCs w:val="0"/>
          <w:caps w:val="0"/>
          <w:color w:val="333333"/>
          <w:spacing w:val="0"/>
          <w:sz w:val="19"/>
          <w:szCs w:val="19"/>
          <w:bdr w:val="none" w:color="auto" w:sz="0" w:space="0"/>
          <w:shd w:val="clear" w:fill="FFFFFF"/>
        </w:rPr>
        <w:t>2.行政复议机关作为共同被告的行政诉讼案件，只计算原行为主体的案件数量，不计算行政复议机关的案件数量。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50" w:lineRule="atLeast"/>
        <w:ind w:left="0" w:right="0" w:firstLine="645"/>
        <w:jc w:val="both"/>
      </w:pPr>
      <w:r>
        <w:rPr>
          <w:rFonts w:hint="eastAsia" w:ascii="黑体" w:hAnsi="宋体" w:eastAsia="黑体" w:cs="黑体"/>
          <w:i w:val="0"/>
          <w:iCs w:val="0"/>
          <w:caps w:val="0"/>
          <w:color w:val="333333"/>
          <w:spacing w:val="0"/>
          <w:sz w:val="31"/>
          <w:szCs w:val="31"/>
          <w:bdr w:val="none" w:color="auto" w:sz="0" w:space="0"/>
          <w:shd w:val="clear" w:fill="FFFFFF"/>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645"/>
        <w:jc w:val="both"/>
      </w:pPr>
      <w:r>
        <w:rPr>
          <w:rFonts w:hint="eastAsia" w:ascii="仿宋_GB2312" w:hAnsi="仿宋_GB2312" w:eastAsia="仿宋_GB2312" w:cs="仿宋_GB2312"/>
          <w:i w:val="0"/>
          <w:iCs w:val="0"/>
          <w:caps w:val="0"/>
          <w:color w:val="333333"/>
          <w:spacing w:val="0"/>
          <w:sz w:val="31"/>
          <w:szCs w:val="31"/>
          <w:bdr w:val="none" w:color="auto" w:sz="0" w:space="0"/>
          <w:shd w:val="clear" w:fill="FFFFFF"/>
        </w:rPr>
        <w:t>主要问题：一是重表面内容，轻实质问题。二是重临时应付，轻长期坚持。三是重简单公开，轻及时反馈。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645"/>
        <w:jc w:val="both"/>
      </w:pPr>
      <w:r>
        <w:rPr>
          <w:rFonts w:hint="eastAsia" w:ascii="仿宋_GB2312" w:hAnsi="仿宋_GB2312" w:eastAsia="仿宋_GB2312" w:cs="仿宋_GB2312"/>
          <w:i w:val="0"/>
          <w:iCs w:val="0"/>
          <w:caps w:val="0"/>
          <w:color w:val="333333"/>
          <w:spacing w:val="0"/>
          <w:sz w:val="31"/>
          <w:szCs w:val="31"/>
          <w:bdr w:val="none" w:color="auto" w:sz="0" w:space="0"/>
          <w:shd w:val="clear" w:fill="FFFFFF"/>
        </w:rPr>
        <w:t>改进措施：加强领导，明确职责，在强化管理上下功夫；加强培训，广泛宣传，在提高认识上下功夫；加强指导和督促检查，在狠抓落实上下功夫。</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50" w:lineRule="atLeast"/>
        <w:ind w:left="0" w:right="0" w:firstLine="645"/>
        <w:jc w:val="both"/>
      </w:pPr>
      <w:r>
        <w:rPr>
          <w:rFonts w:hint="eastAsia" w:ascii="黑体" w:hAnsi="宋体" w:eastAsia="黑体" w:cs="黑体"/>
          <w:i w:val="0"/>
          <w:iCs w:val="0"/>
          <w:caps w:val="0"/>
          <w:color w:val="333333"/>
          <w:spacing w:val="0"/>
          <w:sz w:val="31"/>
          <w:szCs w:val="31"/>
          <w:bdr w:val="none" w:color="auto" w:sz="0" w:space="0"/>
          <w:shd w:val="clear" w:fill="FFFFFF"/>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645"/>
        <w:jc w:val="both"/>
      </w:pPr>
      <w:r>
        <w:rPr>
          <w:rFonts w:hint="eastAsia" w:ascii="仿宋_GB2312" w:hAnsi="仿宋_GB2312" w:eastAsia="仿宋_GB2312" w:cs="仿宋_GB2312"/>
          <w:i w:val="0"/>
          <w:iCs w:val="0"/>
          <w:caps w:val="0"/>
          <w:color w:val="333333"/>
          <w:spacing w:val="0"/>
          <w:sz w:val="31"/>
          <w:szCs w:val="31"/>
          <w:bdr w:val="none" w:color="auto" w:sz="0" w:space="0"/>
          <w:shd w:val="clear" w:fill="FFFFFF"/>
        </w:rPr>
        <w:t>对于需要向人民银行铜鼓县支行申请不予公开以外的政务信息，可书面向中国人民银行铜鼓县支行办公室提出申请，联系电话：0795-8722106。</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F143E3"/>
    <w:rsid w:val="0823785A"/>
    <w:rsid w:val="2A92644F"/>
    <w:rsid w:val="356F6ADD"/>
    <w:rsid w:val="70182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2021-01-20T08:01:00Z</dcterms:created>
  <dc:creator>Administrator</dc:creator>
  <cp:lastModifiedBy>浩瀚星辰</cp:lastModifiedBy>
  <dcterms:modified xsi:type="dcterms:W3CDTF">2021-06-02T08:30:44Z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63E0D0B7B6C64A4BA47A31F3B35FDEE6</vt:lpwstr>
  </property>
</Properties>
</file>