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Autospacing="0" w:afterAutospacing="0" w:line="600" w:lineRule="exact"/>
        <w:jc w:val="center"/>
        <w:rPr>
          <w:rFonts w:hint="eastAsia" w:ascii="方正小标宋简体" w:hAnsi="方正小标宋简体" w:eastAsia="方正小标宋简体" w:cs="方正小标宋简体"/>
          <w:bCs/>
          <w:color w:val="333333"/>
          <w:sz w:val="36"/>
          <w:szCs w:val="36"/>
          <w:shd w:val="clear" w:color="auto" w:fill="FFFFFF"/>
          <w:lang w:eastAsia="zh-CN"/>
        </w:rPr>
      </w:pPr>
      <w:r>
        <w:rPr>
          <w:rFonts w:hint="eastAsia" w:ascii="方正小标宋简体" w:hAnsi="方正小标宋简体" w:eastAsia="方正小标宋简体" w:cs="方正小标宋简体"/>
          <w:bCs/>
          <w:color w:val="333333"/>
          <w:sz w:val="36"/>
          <w:szCs w:val="36"/>
          <w:shd w:val="clear" w:color="auto" w:fill="FFFFFF"/>
          <w:lang w:eastAsia="zh-CN"/>
        </w:rPr>
        <w:t>铜鼓县民政局2020年政府信息公开工作年度报告</w:t>
      </w:r>
    </w:p>
    <w:p>
      <w:pPr>
        <w:pStyle w:val="6"/>
        <w:shd w:val="clear" w:color="auto" w:fill="FFFFFF"/>
        <w:spacing w:beforeAutospacing="0" w:afterAutospacing="0" w:line="600" w:lineRule="exact"/>
        <w:jc w:val="center"/>
        <w:rPr>
          <w:rFonts w:hint="eastAsia" w:ascii="方正小标宋简体" w:hAnsi="方正小标宋简体" w:eastAsia="方正小标宋简体" w:cs="方正小标宋简体"/>
          <w:bCs/>
          <w:color w:val="333333"/>
          <w:sz w:val="36"/>
          <w:szCs w:val="36"/>
          <w:shd w:val="clear" w:color="auto" w:fill="FFFFFF"/>
          <w:lang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60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color w:val="000000"/>
          <w:sz w:val="32"/>
          <w:szCs w:val="32"/>
          <w:shd w:val="clear" w:fill="FFFFFF"/>
          <w:lang w:eastAsia="zh-CN"/>
        </w:rPr>
        <w:t>铜鼓县</w:t>
      </w:r>
      <w:r>
        <w:rPr>
          <w:rFonts w:hint="eastAsia" w:ascii="仿宋_GB2312" w:hAnsi="仿宋_GB2312" w:eastAsia="仿宋_GB2312" w:cs="仿宋_GB2312"/>
          <w:color w:val="000000"/>
          <w:sz w:val="32"/>
          <w:szCs w:val="32"/>
          <w:shd w:val="clear" w:fill="FFFFFF"/>
        </w:rPr>
        <w:t>民政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2020年</w:t>
      </w:r>
      <w:r>
        <w:rPr>
          <w:rFonts w:hint="eastAsia" w:ascii="仿宋_GB2312" w:hAnsi="仿宋_GB2312" w:eastAsia="仿宋_GB2312" w:cs="仿宋_GB2312"/>
          <w:color w:val="000000"/>
          <w:sz w:val="32"/>
          <w:szCs w:val="32"/>
          <w:shd w:val="clear" w:fill="FFFFFF"/>
          <w:lang w:eastAsia="zh-CN"/>
        </w:rPr>
        <w:t>铜鼓县</w:t>
      </w:r>
      <w:r>
        <w:rPr>
          <w:rFonts w:hint="eastAsia" w:ascii="仿宋_GB2312" w:hAnsi="仿宋_GB2312" w:eastAsia="仿宋_GB2312" w:cs="仿宋_GB2312"/>
          <w:color w:val="000000"/>
          <w:sz w:val="32"/>
          <w:szCs w:val="32"/>
          <w:shd w:val="clear" w:fill="FFFFFF"/>
        </w:rPr>
        <w:t>民政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全面执行省、市</w:t>
      </w:r>
      <w:r>
        <w:rPr>
          <w:rFonts w:hint="eastAsia" w:ascii="仿宋_GB2312" w:hAnsi="仿宋_GB2312" w:eastAsia="仿宋_GB2312" w:cs="仿宋_GB2312"/>
          <w:color w:val="000000"/>
          <w:sz w:val="32"/>
          <w:szCs w:val="32"/>
          <w:shd w:val="clear" w:fill="FFFFFF"/>
          <w:lang w:eastAsia="zh-CN"/>
        </w:rPr>
        <w:t>、县</w:t>
      </w:r>
      <w:r>
        <w:rPr>
          <w:rFonts w:hint="eastAsia" w:ascii="仿宋_GB2312" w:hAnsi="仿宋_GB2312" w:eastAsia="仿宋_GB2312" w:cs="仿宋_GB2312"/>
          <w:color w:val="000000"/>
          <w:sz w:val="32"/>
          <w:szCs w:val="32"/>
          <w:shd w:val="clear" w:fill="FFFFFF"/>
        </w:rPr>
        <w:t>政府有关信息公开部署，扎实有序推进宜春市民政领域政府信息公开，充分发挥政府信息公开职能和效能，立足民政职责，聚焦做好“六稳”工作、落实“六保”任务，以公开促落实、促规范、促服务，凝心聚力推动民政事业和社会建设高质量发展。</w:t>
      </w: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年12月31日，共主动公开信息</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rPr>
        <w:t xml:space="preserve">条，全文电子化率达100%。　  </w:t>
      </w:r>
    </w:p>
    <w:p>
      <w:pPr>
        <w:pStyle w:val="6"/>
        <w:shd w:val="clear" w:color="auto" w:fill="FFFFFF"/>
        <w:spacing w:beforeAutospacing="0" w:afterAutospacing="0" w:line="600" w:lineRule="exact"/>
        <w:ind w:firstLine="420"/>
        <w:jc w:val="both"/>
        <w:rPr>
          <w:rFonts w:hint="eastAsia"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tbl>
      <w:tblPr>
        <w:tblStyle w:val="8"/>
        <w:tblW w:w="8140" w:type="dxa"/>
        <w:jc w:val="center"/>
        <w:shd w:val="clear" w:color="auto" w:fill="FFFFFF" w:themeFill="background1"/>
        <w:tblLayout w:type="fixed"/>
        <w:tblCellMar>
          <w:top w:w="0" w:type="dxa"/>
          <w:left w:w="0" w:type="dxa"/>
          <w:bottom w:w="0" w:type="dxa"/>
          <w:right w:w="0" w:type="dxa"/>
        </w:tblCellMar>
      </w:tblPr>
      <w:tblGrid>
        <w:gridCol w:w="3113"/>
        <w:gridCol w:w="1875"/>
        <w:gridCol w:w="6"/>
        <w:gridCol w:w="1265"/>
        <w:gridCol w:w="1881"/>
      </w:tblGrid>
      <w:tr>
        <w:tblPrEx>
          <w:shd w:val="clear" w:color="auto" w:fill="FFFFFF" w:themeFill="background1"/>
          <w:tblCellMar>
            <w:top w:w="0" w:type="dxa"/>
            <w:left w:w="0" w:type="dxa"/>
            <w:bottom w:w="0" w:type="dxa"/>
            <w:right w:w="0" w:type="dxa"/>
          </w:tblCellMar>
        </w:tblPrEx>
        <w:trPr>
          <w:trHeight w:val="433"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bookmarkStart w:id="0" w:name="_GoBack" w:colFirst="0" w:colLast="3"/>
            <w:r>
              <w:rPr>
                <w:rFonts w:hint="eastAsia" w:ascii="仿宋_GB2312" w:hAnsi="仿宋_GB2312" w:eastAsia="仿宋_GB2312" w:cs="仿宋_GB2312"/>
                <w:color w:val="000000"/>
                <w:kern w:val="0"/>
                <w:sz w:val="20"/>
                <w:szCs w:val="20"/>
              </w:rPr>
              <w:t>第二十条第（一）项</w:t>
            </w:r>
          </w:p>
        </w:tc>
      </w:tr>
      <w:tr>
        <w:tblPrEx>
          <w:tblCellMar>
            <w:top w:w="0" w:type="dxa"/>
            <w:left w:w="0" w:type="dxa"/>
            <w:bottom w:w="0" w:type="dxa"/>
            <w:right w:w="0" w:type="dxa"/>
          </w:tblCellMar>
        </w:tblPrEx>
        <w:trPr>
          <w:trHeight w:val="64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本年新</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本年新</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对外公开总数量</w:t>
            </w:r>
          </w:p>
        </w:tc>
      </w:tr>
      <w:tr>
        <w:tblPrEx>
          <w:tblCellMar>
            <w:top w:w="0" w:type="dxa"/>
            <w:left w:w="0" w:type="dxa"/>
            <w:bottom w:w="0" w:type="dxa"/>
            <w:right w:w="0" w:type="dxa"/>
          </w:tblCellMar>
        </w:tblPrEx>
        <w:trPr>
          <w:trHeight w:val="435"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lang w:val="en-US" w:eastAsia="zh-CN"/>
              </w:rPr>
              <w:t>10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lang w:val="en-US" w:eastAsia="zh-CN"/>
              </w:rPr>
              <w:t>10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lang w:val="en-US" w:eastAsia="zh-CN"/>
              </w:rPr>
              <w:t>10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kern w:val="0"/>
                <w:sz w:val="20"/>
                <w:szCs w:val="20"/>
                <w:lang w:val="en-US" w:eastAsia="zh-CN"/>
              </w:rPr>
              <w:t>9</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kern w:val="0"/>
                <w:sz w:val="20"/>
                <w:szCs w:val="20"/>
                <w:lang w:val="en-US" w:eastAsia="zh-CN"/>
              </w:rPr>
              <w:t>9</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color w:val="000000"/>
                <w:kern w:val="0"/>
                <w:sz w:val="20"/>
                <w:szCs w:val="20"/>
                <w:lang w:val="en-US" w:eastAsia="zh-CN"/>
              </w:rPr>
              <w:t>9</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lang w:val="en-US" w:eastAsia="zh-CN"/>
              </w:rPr>
              <w:t>27</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000000"/>
                <w:kern w:val="0"/>
                <w:sz w:val="20"/>
                <w:szCs w:val="20"/>
                <w:lang w:eastAsia="zh-CN"/>
              </w:rPr>
              <w:t>减少</w:t>
            </w:r>
            <w:r>
              <w:rPr>
                <w:rFonts w:hint="eastAsia" w:ascii="仿宋_GB2312" w:hAnsi="仿宋_GB2312" w:eastAsia="仿宋_GB2312" w:cs="仿宋_GB2312"/>
                <w:color w:val="000000"/>
                <w:kern w:val="0"/>
                <w:sz w:val="20"/>
                <w:szCs w:val="20"/>
                <w:lang w:val="en-US" w:eastAsia="zh-CN"/>
              </w:rPr>
              <w:t>18</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第二十条第（九）项</w:t>
            </w:r>
          </w:p>
        </w:tc>
      </w:tr>
      <w:tr>
        <w:tblPrEx>
          <w:tblCellMar>
            <w:top w:w="0" w:type="dxa"/>
            <w:left w:w="0" w:type="dxa"/>
            <w:bottom w:w="0" w:type="dxa"/>
            <w:right w:w="0" w:type="dxa"/>
          </w:tblCellMar>
        </w:tblPrEx>
        <w:trPr>
          <w:trHeight w:val="20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23100万元</w:t>
            </w:r>
          </w:p>
        </w:tc>
      </w:tr>
      <w:bookmarkEnd w:id="0"/>
    </w:tbl>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shd w:val="clear" w:color="auto" w:fill="FFFFFF"/>
        <w:spacing w:beforeAutospacing="0" w:afterAutospacing="0" w:line="240" w:lineRule="exact"/>
        <w:jc w:val="both"/>
        <w:rPr>
          <w:rFonts w:hint="eastAsia"/>
          <w:bCs/>
          <w:color w:val="333333"/>
          <w:shd w:val="clear" w:color="auto"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320" w:firstLineChars="1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三、收到和处理政府信息公开申请情况</w:t>
      </w:r>
    </w:p>
    <w:p>
      <w:pPr>
        <w:pStyle w:val="6"/>
        <w:shd w:val="clear" w:color="auto" w:fill="FFFFFF"/>
        <w:spacing w:beforeAutospacing="0" w:afterAutospacing="0" w:line="240" w:lineRule="exact"/>
        <w:jc w:val="both"/>
        <w:rPr>
          <w:rFonts w:ascii="方正黑体简体" w:hAnsi="方正黑体简体" w:eastAsia="方正黑体简体" w:cs="方正黑体简体"/>
          <w:color w:val="333333"/>
        </w:rPr>
      </w:pPr>
    </w:p>
    <w:tbl>
      <w:tblPr>
        <w:tblStyle w:val="8"/>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bl>
    <w:p>
      <w:pPr>
        <w:pStyle w:val="6"/>
        <w:shd w:val="clear" w:color="auto" w:fill="FFFFFF"/>
        <w:spacing w:beforeAutospacing="0" w:afterAutospacing="0" w:line="240" w:lineRule="exact"/>
        <w:ind w:firstLine="420"/>
        <w:jc w:val="both"/>
        <w:rPr>
          <w:color w:val="333333"/>
        </w:rPr>
      </w:pPr>
    </w:p>
    <w:p>
      <w:pPr>
        <w:pStyle w:val="6"/>
        <w:shd w:val="clear" w:color="auto" w:fill="FFFFFF"/>
        <w:spacing w:beforeAutospacing="0" w:afterAutospacing="0" w:line="240" w:lineRule="exact"/>
        <w:ind w:firstLine="420"/>
        <w:jc w:val="both"/>
        <w:rPr>
          <w:rFonts w:hint="eastAsia"/>
          <w:bCs/>
          <w:color w:val="333333"/>
          <w:shd w:val="clear" w:color="auto"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20"/>
        <w:jc w:val="both"/>
        <w:textAlignment w:val="auto"/>
        <w:rPr>
          <w:rFonts w:hint="eastAsia"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四、政府信息公开行政复议、行政诉讼情况</w:t>
      </w:r>
    </w:p>
    <w:p>
      <w:pPr>
        <w:pStyle w:val="6"/>
        <w:shd w:val="clear" w:color="auto" w:fill="FFFFFF"/>
        <w:spacing w:beforeAutospacing="0" w:afterAutospacing="0" w:line="240" w:lineRule="exact"/>
        <w:ind w:firstLine="420"/>
        <w:jc w:val="both"/>
        <w:rPr>
          <w:color w:val="333333"/>
        </w:rPr>
      </w:pPr>
    </w:p>
    <w:tbl>
      <w:tblPr>
        <w:tblStyle w:val="8"/>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0</w:t>
            </w:r>
          </w:p>
        </w:tc>
      </w:tr>
    </w:tbl>
    <w:p>
      <w:pPr>
        <w:pStyle w:val="6"/>
        <w:shd w:val="clear" w:color="auto" w:fill="FFFFFF"/>
        <w:spacing w:beforeAutospacing="0" w:afterAutospacing="0" w:line="600" w:lineRule="exact"/>
        <w:jc w:val="both"/>
        <w:rPr>
          <w:rFonts w:hint="eastAsia"/>
          <w:bCs/>
          <w:color w:val="333333"/>
          <w:shd w:val="clear" w:color="auto" w:fill="FFFFFF"/>
        </w:rPr>
      </w:pP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五、存在的主要问题及改进情况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主要问题：一是对新修订的《条例》的学习宣传、贯彻落实需要进一步加强；二是民生领域信息公开需加大推进力度；三是回应解读力度需加强。</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改进措施：一是继续加强宣传培训学习；强化培养政务公开队伍，加强政策理论学习、研究，深入贯彻公开理念，确保政府信息公开工作落到实处。二是加大民生领域信息公开力度；重点公开社会救助、社会组织、养老服务等社会重点关注领域信息；三是加大回应解读力度，丰富信息公开的内容和形式，定期回应公众关注的热点或重大舆情。</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无</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197E"/>
    <w:rsid w:val="000916BA"/>
    <w:rsid w:val="000D43DC"/>
    <w:rsid w:val="00192302"/>
    <w:rsid w:val="00225C62"/>
    <w:rsid w:val="00513272"/>
    <w:rsid w:val="005A197E"/>
    <w:rsid w:val="00996F1F"/>
    <w:rsid w:val="00B511A1"/>
    <w:rsid w:val="00D80D35"/>
    <w:rsid w:val="00E435A6"/>
    <w:rsid w:val="00FE50C1"/>
    <w:rsid w:val="0773300F"/>
    <w:rsid w:val="0CA46F97"/>
    <w:rsid w:val="1D490AD9"/>
    <w:rsid w:val="1D6C7197"/>
    <w:rsid w:val="227157DD"/>
    <w:rsid w:val="307B0568"/>
    <w:rsid w:val="3DEF6DF3"/>
    <w:rsid w:val="46A4715A"/>
    <w:rsid w:val="55E45E10"/>
    <w:rsid w:val="58C67358"/>
    <w:rsid w:val="58F86995"/>
    <w:rsid w:val="650631A4"/>
    <w:rsid w:val="6B4F4DF6"/>
    <w:rsid w:val="6CB9311F"/>
    <w:rsid w:val="770475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Indent"/>
    <w:basedOn w:val="1"/>
    <w:link w:val="14"/>
    <w:qFormat/>
    <w:uiPriority w:val="0"/>
    <w:pPr>
      <w:spacing w:after="120" w:afterLines="0" w:afterAutospacing="0"/>
      <w:ind w:left="420" w:leftChars="20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link w:val="15"/>
    <w:qFormat/>
    <w:uiPriority w:val="0"/>
    <w:pPr>
      <w:ind w:firstLine="420" w:firstLineChars="200"/>
    </w:p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页眉 Char"/>
    <w:basedOn w:val="9"/>
    <w:link w:val="5"/>
    <w:qFormat/>
    <w:uiPriority w:val="0"/>
    <w:rPr>
      <w:rFonts w:ascii="Calibri" w:hAnsi="Calibri" w:cs="黑体"/>
      <w:kern w:val="2"/>
      <w:sz w:val="18"/>
      <w:szCs w:val="18"/>
    </w:rPr>
  </w:style>
  <w:style w:type="character" w:customStyle="1" w:styleId="13">
    <w:name w:val="页脚 Char"/>
    <w:basedOn w:val="9"/>
    <w:link w:val="4"/>
    <w:qFormat/>
    <w:uiPriority w:val="0"/>
    <w:rPr>
      <w:rFonts w:ascii="Calibri" w:hAnsi="Calibri" w:cs="黑体"/>
      <w:kern w:val="2"/>
      <w:sz w:val="18"/>
      <w:szCs w:val="18"/>
    </w:rPr>
  </w:style>
  <w:style w:type="character" w:customStyle="1" w:styleId="14">
    <w:name w:val="正文文本缩进 Char"/>
    <w:basedOn w:val="9"/>
    <w:link w:val="3"/>
    <w:qFormat/>
    <w:uiPriority w:val="0"/>
    <w:rPr>
      <w:kern w:val="2"/>
      <w:sz w:val="21"/>
    </w:rPr>
  </w:style>
  <w:style w:type="character" w:customStyle="1" w:styleId="15">
    <w:name w:val="正文首行缩进 2 Char"/>
    <w:basedOn w:val="14"/>
    <w:link w:val="7"/>
    <w:qFormat/>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315</Words>
  <Characters>1797</Characters>
  <Lines>14</Lines>
  <Paragraphs>4</Paragraphs>
  <TotalTime>66</TotalTime>
  <ScaleCrop>false</ScaleCrop>
  <LinksUpToDate>false</LinksUpToDate>
  <CharactersWithSpaces>2108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木木</cp:lastModifiedBy>
  <cp:lastPrinted>2020-01-21T07:27:00Z</cp:lastPrinted>
  <dcterms:modified xsi:type="dcterms:W3CDTF">2021-04-28T07:03:42Z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BC7B4A5A24BD49718A19FEC3919D9A44</vt:lpwstr>
  </property>
</Properties>
</file>