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ascii="微软雅黑" w:hAnsi="微软雅黑" w:eastAsia="微软雅黑" w:cs="微软雅黑"/>
          <w:color w:val="333333"/>
          <w:sz w:val="25"/>
          <w:szCs w:val="25"/>
        </w:rPr>
      </w:pPr>
      <w:r>
        <w:rPr>
          <w:rStyle w:val="5"/>
          <w:rFonts w:hint="eastAsia" w:ascii="宋体" w:hAnsi="宋体" w:eastAsia="宋体" w:cs="宋体"/>
          <w:color w:val="333333"/>
          <w:sz w:val="24"/>
          <w:szCs w:val="24"/>
          <w:bdr w:val="none" w:color="auto" w:sz="0" w:space="0"/>
          <w:shd w:val="clear" w:fill="FFFFFF"/>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80"/>
        <w:jc w:val="both"/>
        <w:rPr>
          <w:rFonts w:hint="eastAsia" w:ascii="微软雅黑" w:hAnsi="微软雅黑" w:eastAsia="微软雅黑" w:cs="微软雅黑"/>
          <w:color w:val="333333"/>
          <w:sz w:val="25"/>
          <w:szCs w:val="25"/>
        </w:rPr>
      </w:pPr>
      <w:r>
        <w:rPr>
          <w:rFonts w:ascii="仿宋_GB2312" w:hAnsi="仿宋_GB2312" w:eastAsia="仿宋_GB2312" w:cs="仿宋_GB2312"/>
          <w:color w:val="555555"/>
          <w:sz w:val="24"/>
          <w:szCs w:val="24"/>
          <w:bdr w:val="none" w:color="auto" w:sz="0" w:space="0"/>
          <w:shd w:val="clear" w:fill="FFFFFF"/>
        </w:rPr>
        <w:t>我局高度重视政府信息公开工作，全面推进政务公开工作，紧紧围绕县委县政府中心工作，持续推进政务公开标准化规范化建设，着力以公开提效能、优服务、转作风，使政务公开工作水平进一步提升。</w:t>
      </w:r>
      <w:r>
        <w:rPr>
          <w:rFonts w:ascii="仿宋" w:hAnsi="仿宋" w:eastAsia="仿宋" w:cs="仿宋"/>
          <w:color w:val="555555"/>
          <w:sz w:val="24"/>
          <w:szCs w:val="24"/>
          <w:bdr w:val="none" w:color="auto" w:sz="0" w:space="0"/>
          <w:shd w:val="clear" w:fill="FFFFFF"/>
        </w:rPr>
        <w:t>​为深入推进我局政务信息公开工作，根据《中华人民共和国政府信息公开条例》等文件要求，我局始终把以</w:t>
      </w:r>
      <w:r>
        <w:rPr>
          <w:rFonts w:hint="eastAsia" w:ascii="仿宋" w:hAnsi="仿宋" w:eastAsia="仿宋" w:cs="仿宋"/>
          <w:color w:val="555555"/>
          <w:sz w:val="24"/>
          <w:szCs w:val="24"/>
          <w:bdr w:val="none" w:color="auto" w:sz="0" w:space="0"/>
          <w:shd w:val="clear" w:fill="FFFFFF"/>
        </w:rPr>
        <w:t>农业农村为主要内容的政务公开作为依法执政的重要内容和有效手段，以县政府信息公开平台为基础，依法及时公开各类政务信息。我局高度重视政务公开工作，指定专员全面负责局政务公开工作，确保信息公开透明又实用规范，按照“控制源头、加强检查、明确责任、落实制度”的原则，局制定了局政府信息公开目录、信息公开指南、公开年度报告等相关工作方案，明确了工作职责和追究办法。截至日前，我局的发布和更新的各类信息共计262条，事关群众切身利益的事项及时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微软雅黑" w:hAnsi="微软雅黑" w:eastAsia="微软雅黑" w:cs="微软雅黑"/>
          <w:color w:val="333333"/>
          <w:sz w:val="25"/>
          <w:szCs w:val="25"/>
        </w:rPr>
      </w:pPr>
      <w:r>
        <w:rPr>
          <w:rStyle w:val="5"/>
          <w:rFonts w:hint="eastAsia" w:ascii="宋体" w:hAnsi="宋体" w:eastAsia="宋体" w:cs="宋体"/>
          <w:color w:val="333333"/>
          <w:sz w:val="24"/>
          <w:szCs w:val="24"/>
          <w:bdr w:val="none" w:color="auto" w:sz="0" w:space="0"/>
          <w:shd w:val="clear" w:fill="FFFFFF"/>
        </w:rPr>
        <w:t>二、主动公开政府信息情况</w:t>
      </w:r>
    </w:p>
    <w:tbl>
      <w:tblPr>
        <w:tblW w:w="81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120"/>
        <w:gridCol w:w="1875"/>
        <w:gridCol w:w="1275"/>
        <w:gridCol w:w="1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95" w:hRule="atLeast"/>
        </w:trPr>
        <w:tc>
          <w:tcPr>
            <w:tcW w:w="8145" w:type="dxa"/>
            <w:gridSpan w:val="4"/>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5" w:hRule="atLeast"/>
        </w:trPr>
        <w:tc>
          <w:tcPr>
            <w:tcW w:w="312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信息内容</w:t>
            </w:r>
          </w:p>
        </w:tc>
        <w:tc>
          <w:tcPr>
            <w:tcW w:w="187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本年新</w:t>
            </w:r>
            <w:r>
              <w:rPr>
                <w:rFonts w:hint="eastAsia" w:ascii="宋体" w:hAnsi="宋体" w:eastAsia="宋体" w:cs="宋体"/>
                <w:color w:val="333333"/>
                <w:sz w:val="19"/>
                <w:szCs w:val="19"/>
                <w:bdr w:val="none" w:color="auto" w:sz="0" w:space="0"/>
              </w:rPr>
              <w:br w:type="textWrapping"/>
            </w:r>
            <w:r>
              <w:rPr>
                <w:rFonts w:ascii="Calibri" w:hAnsi="Calibri" w:eastAsia="Calibri" w:cs="Calibri"/>
                <w:color w:val="333333"/>
                <w:sz w:val="19"/>
                <w:szCs w:val="19"/>
                <w:bdr w:val="none" w:color="auto" w:sz="0" w:space="0"/>
              </w:rPr>
              <w:t>制作数量</w:t>
            </w:r>
          </w:p>
        </w:tc>
        <w:tc>
          <w:tcPr>
            <w:tcW w:w="127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本年新</w:t>
            </w:r>
            <w:r>
              <w:rPr>
                <w:rFonts w:hint="eastAsia" w:ascii="宋体" w:hAnsi="宋体" w:eastAsia="宋体" w:cs="宋体"/>
                <w:color w:val="333333"/>
                <w:sz w:val="19"/>
                <w:szCs w:val="19"/>
                <w:bdr w:val="none" w:color="auto" w:sz="0" w:space="0"/>
              </w:rPr>
              <w:br w:type="textWrapping"/>
            </w:r>
            <w:r>
              <w:rPr>
                <w:rFonts w:hint="default" w:ascii="Calibri" w:hAnsi="Calibri" w:eastAsia="Calibri" w:cs="Calibri"/>
                <w:color w:val="333333"/>
                <w:sz w:val="19"/>
                <w:szCs w:val="19"/>
                <w:bdr w:val="none" w:color="auto" w:sz="0" w:space="0"/>
              </w:rPr>
              <w:t>公开数量</w:t>
            </w: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312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333333"/>
                <w:sz w:val="19"/>
                <w:szCs w:val="19"/>
                <w:bdr w:val="none" w:color="auto" w:sz="0" w:space="0"/>
              </w:rPr>
              <w:t>规章</w:t>
            </w: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0</w:t>
            </w:r>
          </w:p>
        </w:tc>
        <w:tc>
          <w:tcPr>
            <w:tcW w:w="12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0</w:t>
            </w: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65" w:hRule="atLeast"/>
        </w:trPr>
        <w:tc>
          <w:tcPr>
            <w:tcW w:w="312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333333"/>
                <w:sz w:val="19"/>
                <w:szCs w:val="19"/>
                <w:bdr w:val="none" w:color="auto" w:sz="0" w:space="0"/>
              </w:rPr>
              <w:t>规范性文件</w:t>
            </w: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31</w:t>
            </w:r>
          </w:p>
        </w:tc>
        <w:tc>
          <w:tcPr>
            <w:tcW w:w="12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31</w:t>
            </w: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8145" w:type="dxa"/>
            <w:gridSpan w:val="4"/>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0" w:hRule="atLeast"/>
        </w:trPr>
        <w:tc>
          <w:tcPr>
            <w:tcW w:w="312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信息内容</w:t>
            </w:r>
          </w:p>
        </w:tc>
        <w:tc>
          <w:tcPr>
            <w:tcW w:w="187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上一年项目数量</w:t>
            </w:r>
          </w:p>
        </w:tc>
        <w:tc>
          <w:tcPr>
            <w:tcW w:w="127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本年增/减</w:t>
            </w: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312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333333"/>
                <w:sz w:val="19"/>
                <w:szCs w:val="19"/>
                <w:bdr w:val="none" w:color="auto" w:sz="0" w:space="0"/>
              </w:rPr>
              <w:t>行政许可</w:t>
            </w: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0</w:t>
            </w:r>
          </w:p>
        </w:tc>
        <w:tc>
          <w:tcPr>
            <w:tcW w:w="12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0</w:t>
            </w: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55" w:hRule="atLeast"/>
        </w:trPr>
        <w:tc>
          <w:tcPr>
            <w:tcW w:w="312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333333"/>
                <w:sz w:val="19"/>
                <w:szCs w:val="19"/>
                <w:bdr w:val="none" w:color="auto" w:sz="0" w:space="0"/>
              </w:rPr>
              <w:t>其他对外管理服务事项</w:t>
            </w: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0</w:t>
            </w:r>
          </w:p>
        </w:tc>
        <w:tc>
          <w:tcPr>
            <w:tcW w:w="12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0</w:t>
            </w: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8145" w:type="dxa"/>
            <w:gridSpan w:val="4"/>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312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信息内容</w:t>
            </w:r>
          </w:p>
        </w:tc>
        <w:tc>
          <w:tcPr>
            <w:tcW w:w="187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上一年项目数量</w:t>
            </w:r>
          </w:p>
        </w:tc>
        <w:tc>
          <w:tcPr>
            <w:tcW w:w="127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本年增/减</w:t>
            </w: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35" w:hRule="atLeast"/>
        </w:trPr>
        <w:tc>
          <w:tcPr>
            <w:tcW w:w="312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333333"/>
                <w:sz w:val="19"/>
                <w:szCs w:val="19"/>
                <w:bdr w:val="none" w:color="auto" w:sz="0" w:space="0"/>
              </w:rPr>
              <w:t>行政处罚</w:t>
            </w: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0</w:t>
            </w:r>
          </w:p>
        </w:tc>
        <w:tc>
          <w:tcPr>
            <w:tcW w:w="12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0</w:t>
            </w: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312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333333"/>
                <w:sz w:val="19"/>
                <w:szCs w:val="19"/>
                <w:bdr w:val="none" w:color="auto" w:sz="0" w:space="0"/>
              </w:rPr>
              <w:t>行政强制</w:t>
            </w: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0</w:t>
            </w:r>
          </w:p>
        </w:tc>
        <w:tc>
          <w:tcPr>
            <w:tcW w:w="12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0</w:t>
            </w: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8145" w:type="dxa"/>
            <w:gridSpan w:val="4"/>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70" w:hRule="atLeast"/>
        </w:trPr>
        <w:tc>
          <w:tcPr>
            <w:tcW w:w="312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信息内容</w:t>
            </w: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333333"/>
                <w:sz w:val="19"/>
                <w:szCs w:val="19"/>
                <w:bdr w:val="none" w:color="auto" w:sz="0" w:space="0"/>
              </w:rPr>
              <w:t>上一年项目数量</w:t>
            </w:r>
          </w:p>
        </w:tc>
        <w:tc>
          <w:tcPr>
            <w:tcW w:w="3150" w:type="dxa"/>
            <w:gridSpan w:val="2"/>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55" w:hRule="atLeast"/>
        </w:trPr>
        <w:tc>
          <w:tcPr>
            <w:tcW w:w="312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333333"/>
                <w:sz w:val="19"/>
                <w:szCs w:val="19"/>
                <w:bdr w:val="none" w:color="auto" w:sz="0" w:space="0"/>
              </w:rPr>
              <w:t>行政事业性收费</w:t>
            </w: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0</w:t>
            </w:r>
          </w:p>
        </w:tc>
        <w:tc>
          <w:tcPr>
            <w:tcW w:w="3150" w:type="dxa"/>
            <w:gridSpan w:val="2"/>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8145" w:type="dxa"/>
            <w:gridSpan w:val="4"/>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85" w:hRule="atLeast"/>
        </w:trPr>
        <w:tc>
          <w:tcPr>
            <w:tcW w:w="312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333333"/>
                <w:sz w:val="19"/>
                <w:szCs w:val="19"/>
                <w:bdr w:val="none" w:color="auto" w:sz="0" w:space="0"/>
              </w:rPr>
              <w:t>信息内容</w:t>
            </w:r>
          </w:p>
        </w:tc>
        <w:tc>
          <w:tcPr>
            <w:tcW w:w="187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333333"/>
                <w:sz w:val="19"/>
                <w:szCs w:val="19"/>
                <w:bdr w:val="none" w:color="auto" w:sz="0" w:space="0"/>
              </w:rPr>
              <w:t>采购项目数量</w:t>
            </w:r>
          </w:p>
        </w:tc>
        <w:tc>
          <w:tcPr>
            <w:tcW w:w="3150" w:type="dxa"/>
            <w:gridSpan w:val="2"/>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333333"/>
                <w:sz w:val="19"/>
                <w:szCs w:val="19"/>
                <w:bdr w:val="none" w:color="auto" w:sz="0" w:space="0"/>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312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333333"/>
                <w:sz w:val="19"/>
                <w:szCs w:val="19"/>
                <w:bdr w:val="none" w:color="auto" w:sz="0" w:space="0"/>
              </w:rPr>
              <w:t>政府集中采购</w:t>
            </w: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0</w:t>
            </w:r>
          </w:p>
        </w:tc>
        <w:tc>
          <w:tcPr>
            <w:tcW w:w="3150" w:type="dxa"/>
            <w:gridSpan w:val="2"/>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24"/>
                <w:szCs w:val="24"/>
                <w:bdr w:val="none" w:color="auto" w:sz="0" w:space="0"/>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both"/>
        <w:rPr>
          <w:rFonts w:hint="eastAsia" w:ascii="微软雅黑" w:hAnsi="微软雅黑" w:eastAsia="微软雅黑" w:cs="微软雅黑"/>
          <w:color w:val="333333"/>
          <w:sz w:val="25"/>
          <w:szCs w:val="25"/>
        </w:rPr>
      </w:pPr>
      <w:r>
        <w:rPr>
          <w:rFonts w:hint="eastAsia" w:ascii="宋体" w:hAnsi="宋体" w:eastAsia="宋体" w:cs="宋体"/>
          <w:color w:val="333333"/>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240"/>
        <w:jc w:val="both"/>
        <w:rPr>
          <w:rFonts w:hint="eastAsia" w:ascii="微软雅黑" w:hAnsi="微软雅黑" w:eastAsia="微软雅黑" w:cs="微软雅黑"/>
          <w:color w:val="333333"/>
          <w:sz w:val="25"/>
          <w:szCs w:val="25"/>
        </w:rPr>
      </w:pPr>
      <w:r>
        <w:rPr>
          <w:rFonts w:hint="eastAsia" w:ascii="宋体" w:hAnsi="宋体" w:eastAsia="宋体" w:cs="宋体"/>
          <w:color w:val="333333"/>
          <w:sz w:val="24"/>
          <w:szCs w:val="24"/>
          <w:bdr w:val="none" w:color="auto" w:sz="0" w:space="0"/>
          <w:shd w:val="clear" w:fill="FFFFFF"/>
        </w:rPr>
        <w:t>三、</w:t>
      </w:r>
      <w:r>
        <w:rPr>
          <w:rFonts w:ascii="方正黑体简体" w:hAnsi="方正黑体简体" w:eastAsia="方正黑体简体" w:cs="方正黑体简体"/>
          <w:color w:val="333333"/>
          <w:sz w:val="24"/>
          <w:szCs w:val="24"/>
          <w:bdr w:val="none" w:color="auto" w:sz="0" w:space="0"/>
          <w:shd w:val="clear" w:fill="FFFFFF"/>
        </w:rPr>
        <w:t>收到和处理政府信息公开申请情况</w:t>
      </w:r>
    </w:p>
    <w:tbl>
      <w:tblPr>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15"/>
        <w:gridCol w:w="855"/>
        <w:gridCol w:w="2085"/>
        <w:gridCol w:w="810"/>
        <w:gridCol w:w="750"/>
        <w:gridCol w:w="750"/>
        <w:gridCol w:w="810"/>
        <w:gridCol w:w="975"/>
        <w:gridCol w:w="735"/>
        <w:gridCol w:w="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3555" w:type="dxa"/>
            <w:gridSpan w:val="3"/>
            <w:vMerge w:val="restar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（本列数据的勾稽关系为：第一项加第二项之和，等于第三项加第四项之和）</w:t>
            </w:r>
          </w:p>
        </w:tc>
        <w:tc>
          <w:tcPr>
            <w:tcW w:w="5505" w:type="dxa"/>
            <w:gridSpan w:val="7"/>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555" w:type="dxa"/>
            <w:gridSpan w:val="3"/>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color w:val="333333"/>
                <w:sz w:val="25"/>
                <w:szCs w:val="25"/>
              </w:rPr>
            </w:pPr>
          </w:p>
        </w:tc>
        <w:tc>
          <w:tcPr>
            <w:tcW w:w="810"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自然人</w:t>
            </w:r>
          </w:p>
        </w:tc>
        <w:tc>
          <w:tcPr>
            <w:tcW w:w="4020" w:type="dxa"/>
            <w:gridSpan w:val="5"/>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法人或其他组织</w:t>
            </w:r>
          </w:p>
        </w:tc>
        <w:tc>
          <w:tcPr>
            <w:tcW w:w="675" w:type="dxa"/>
            <w:vMerge w:val="restart"/>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3555" w:type="dxa"/>
            <w:gridSpan w:val="3"/>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color w:val="333333"/>
                <w:sz w:val="25"/>
                <w:szCs w:val="25"/>
              </w:rPr>
            </w:pPr>
          </w:p>
        </w:tc>
        <w:tc>
          <w:tcPr>
            <w:tcW w:w="810"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color w:val="333333"/>
                <w:sz w:val="25"/>
                <w:szCs w:val="25"/>
              </w:rPr>
            </w:pP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商业企业</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科研机构</w:t>
            </w:r>
          </w:p>
        </w:tc>
        <w:tc>
          <w:tcPr>
            <w:tcW w:w="81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社会公益组织</w:t>
            </w:r>
          </w:p>
        </w:tc>
        <w:tc>
          <w:tcPr>
            <w:tcW w:w="97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法律服务机构</w:t>
            </w:r>
          </w:p>
        </w:tc>
        <w:tc>
          <w:tcPr>
            <w:tcW w:w="72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其他</w:t>
            </w:r>
          </w:p>
        </w:tc>
        <w:tc>
          <w:tcPr>
            <w:tcW w:w="67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color w:val="333333"/>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3555" w:type="dxa"/>
            <w:gridSpan w:val="3"/>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333333"/>
                <w:sz w:val="19"/>
                <w:szCs w:val="19"/>
                <w:bdr w:val="none" w:color="auto" w:sz="0" w:space="0"/>
              </w:rPr>
              <w:t>一、本年新收政府信息公开申请数量</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 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 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 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 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 0</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 0</w:t>
            </w:r>
          </w:p>
        </w:tc>
        <w:tc>
          <w:tcPr>
            <w:tcW w:w="6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3555" w:type="dxa"/>
            <w:gridSpan w:val="3"/>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333333"/>
                <w:sz w:val="19"/>
                <w:szCs w:val="19"/>
                <w:bdr w:val="none" w:color="auto" w:sz="0" w:space="0"/>
              </w:rPr>
              <w:t>二、上年结转政府信息公开申请数量</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0 </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0 </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 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0 </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 0</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0 </w:t>
            </w:r>
          </w:p>
        </w:tc>
        <w:tc>
          <w:tcPr>
            <w:tcW w:w="6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615"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333333"/>
                <w:sz w:val="19"/>
                <w:szCs w:val="19"/>
                <w:bdr w:val="none" w:color="auto" w:sz="0" w:space="0"/>
              </w:rPr>
              <w:t>三、本年度办理结果</w:t>
            </w:r>
          </w:p>
        </w:tc>
        <w:tc>
          <w:tcPr>
            <w:tcW w:w="2940" w:type="dxa"/>
            <w:gridSpan w:val="2"/>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ascii="楷体" w:hAnsi="楷体" w:eastAsia="楷体" w:cs="楷体"/>
                <w:color w:val="333333"/>
                <w:sz w:val="19"/>
                <w:szCs w:val="19"/>
                <w:bdr w:val="none" w:color="auto" w:sz="0" w:space="0"/>
              </w:rPr>
              <w:t>（一）予以公开</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67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both"/>
              <w:rPr>
                <w:rFonts w:hint="eastAsia" w:ascii="微软雅黑" w:hAnsi="微软雅黑" w:eastAsia="微软雅黑" w:cs="微软雅黑"/>
                <w:color w:val="333333"/>
                <w:sz w:val="25"/>
                <w:szCs w:val="25"/>
              </w:rPr>
            </w:pPr>
          </w:p>
        </w:tc>
        <w:tc>
          <w:tcPr>
            <w:tcW w:w="2940" w:type="dxa"/>
            <w:gridSpan w:val="2"/>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楷体" w:hAnsi="楷体" w:eastAsia="楷体" w:cs="楷体"/>
                <w:color w:val="333333"/>
                <w:sz w:val="19"/>
                <w:szCs w:val="19"/>
                <w:bdr w:val="none" w:color="auto" w:sz="0" w:space="0"/>
              </w:rPr>
              <w:t>（二）部分公开（区分处理的，只计这一情形，不计其他情形）</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67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both"/>
              <w:rPr>
                <w:rFonts w:hint="eastAsia" w:ascii="微软雅黑" w:hAnsi="微软雅黑" w:eastAsia="微软雅黑" w:cs="微软雅黑"/>
                <w:color w:val="333333"/>
                <w:sz w:val="25"/>
                <w:szCs w:val="25"/>
              </w:rPr>
            </w:pPr>
          </w:p>
        </w:tc>
        <w:tc>
          <w:tcPr>
            <w:tcW w:w="855"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楷体" w:hAnsi="楷体" w:eastAsia="楷体" w:cs="楷体"/>
                <w:color w:val="333333"/>
                <w:sz w:val="19"/>
                <w:szCs w:val="19"/>
                <w:bdr w:val="none" w:color="auto" w:sz="0" w:space="0"/>
              </w:rPr>
              <w:t>（三）不予公开</w:t>
            </w:r>
          </w:p>
        </w:tc>
        <w:tc>
          <w:tcPr>
            <w:tcW w:w="208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楷体" w:hAnsi="楷体" w:eastAsia="楷体" w:cs="楷体"/>
                <w:color w:val="333333"/>
                <w:sz w:val="19"/>
                <w:szCs w:val="19"/>
                <w:bdr w:val="none" w:color="auto" w:sz="0" w:space="0"/>
              </w:rPr>
              <w:t>1.属于国家秘密</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67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both"/>
              <w:rPr>
                <w:rFonts w:hint="eastAsia" w:ascii="微软雅黑" w:hAnsi="微软雅黑" w:eastAsia="微软雅黑" w:cs="微软雅黑"/>
                <w:color w:val="333333"/>
                <w:sz w:val="25"/>
                <w:szCs w:val="25"/>
              </w:rPr>
            </w:pPr>
          </w:p>
        </w:tc>
        <w:tc>
          <w:tcPr>
            <w:tcW w:w="85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both"/>
              <w:rPr>
                <w:rFonts w:hint="eastAsia" w:ascii="微软雅黑" w:hAnsi="微软雅黑" w:eastAsia="微软雅黑" w:cs="微软雅黑"/>
                <w:color w:val="333333"/>
                <w:sz w:val="25"/>
                <w:szCs w:val="25"/>
              </w:rPr>
            </w:pPr>
          </w:p>
        </w:tc>
        <w:tc>
          <w:tcPr>
            <w:tcW w:w="208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楷体" w:hAnsi="楷体" w:eastAsia="楷体" w:cs="楷体"/>
                <w:color w:val="333333"/>
                <w:sz w:val="19"/>
                <w:szCs w:val="19"/>
                <w:bdr w:val="none" w:color="auto" w:sz="0" w:space="0"/>
              </w:rPr>
              <w:t>2.其他法律行政法规禁止公开</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0 </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67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both"/>
              <w:rPr>
                <w:rFonts w:hint="eastAsia" w:ascii="微软雅黑" w:hAnsi="微软雅黑" w:eastAsia="微软雅黑" w:cs="微软雅黑"/>
                <w:color w:val="333333"/>
                <w:sz w:val="25"/>
                <w:szCs w:val="25"/>
              </w:rPr>
            </w:pPr>
          </w:p>
        </w:tc>
        <w:tc>
          <w:tcPr>
            <w:tcW w:w="85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both"/>
              <w:rPr>
                <w:rFonts w:hint="eastAsia" w:ascii="微软雅黑" w:hAnsi="微软雅黑" w:eastAsia="微软雅黑" w:cs="微软雅黑"/>
                <w:color w:val="333333"/>
                <w:sz w:val="25"/>
                <w:szCs w:val="25"/>
              </w:rPr>
            </w:pPr>
          </w:p>
        </w:tc>
        <w:tc>
          <w:tcPr>
            <w:tcW w:w="208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楷体" w:hAnsi="楷体" w:eastAsia="楷体" w:cs="楷体"/>
                <w:color w:val="333333"/>
                <w:sz w:val="19"/>
                <w:szCs w:val="19"/>
                <w:bdr w:val="none" w:color="auto" w:sz="0" w:space="0"/>
              </w:rPr>
              <w:t>3.危及“三安全一稳定”</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67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both"/>
              <w:rPr>
                <w:rFonts w:hint="eastAsia" w:ascii="微软雅黑" w:hAnsi="微软雅黑" w:eastAsia="微软雅黑" w:cs="微软雅黑"/>
                <w:color w:val="333333"/>
                <w:sz w:val="25"/>
                <w:szCs w:val="25"/>
              </w:rPr>
            </w:pPr>
          </w:p>
        </w:tc>
        <w:tc>
          <w:tcPr>
            <w:tcW w:w="85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both"/>
              <w:rPr>
                <w:rFonts w:hint="eastAsia" w:ascii="微软雅黑" w:hAnsi="微软雅黑" w:eastAsia="微软雅黑" w:cs="微软雅黑"/>
                <w:color w:val="333333"/>
                <w:sz w:val="25"/>
                <w:szCs w:val="25"/>
              </w:rPr>
            </w:pPr>
          </w:p>
        </w:tc>
        <w:tc>
          <w:tcPr>
            <w:tcW w:w="208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楷体" w:hAnsi="楷体" w:eastAsia="楷体" w:cs="楷体"/>
                <w:color w:val="333333"/>
                <w:sz w:val="19"/>
                <w:szCs w:val="19"/>
                <w:bdr w:val="none" w:color="auto" w:sz="0" w:space="0"/>
              </w:rPr>
              <w:t>4.保护第三方合法权益</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67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both"/>
              <w:rPr>
                <w:rFonts w:hint="eastAsia" w:ascii="微软雅黑" w:hAnsi="微软雅黑" w:eastAsia="微软雅黑" w:cs="微软雅黑"/>
                <w:color w:val="333333"/>
                <w:sz w:val="25"/>
                <w:szCs w:val="25"/>
              </w:rPr>
            </w:pPr>
          </w:p>
        </w:tc>
        <w:tc>
          <w:tcPr>
            <w:tcW w:w="85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both"/>
              <w:rPr>
                <w:rFonts w:hint="eastAsia" w:ascii="微软雅黑" w:hAnsi="微软雅黑" w:eastAsia="微软雅黑" w:cs="微软雅黑"/>
                <w:color w:val="333333"/>
                <w:sz w:val="25"/>
                <w:szCs w:val="25"/>
              </w:rPr>
            </w:pPr>
          </w:p>
        </w:tc>
        <w:tc>
          <w:tcPr>
            <w:tcW w:w="208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楷体" w:hAnsi="楷体" w:eastAsia="楷体" w:cs="楷体"/>
                <w:color w:val="333333"/>
                <w:sz w:val="19"/>
                <w:szCs w:val="19"/>
                <w:bdr w:val="none" w:color="auto" w:sz="0" w:space="0"/>
              </w:rPr>
              <w:t>5.属于三类内部事务信息</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67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both"/>
              <w:rPr>
                <w:rFonts w:hint="eastAsia" w:ascii="微软雅黑" w:hAnsi="微软雅黑" w:eastAsia="微软雅黑" w:cs="微软雅黑"/>
                <w:color w:val="333333"/>
                <w:sz w:val="25"/>
                <w:szCs w:val="25"/>
              </w:rPr>
            </w:pPr>
          </w:p>
        </w:tc>
        <w:tc>
          <w:tcPr>
            <w:tcW w:w="85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both"/>
              <w:rPr>
                <w:rFonts w:hint="eastAsia" w:ascii="微软雅黑" w:hAnsi="微软雅黑" w:eastAsia="微软雅黑" w:cs="微软雅黑"/>
                <w:color w:val="333333"/>
                <w:sz w:val="25"/>
                <w:szCs w:val="25"/>
              </w:rPr>
            </w:pPr>
          </w:p>
        </w:tc>
        <w:tc>
          <w:tcPr>
            <w:tcW w:w="208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楷体" w:hAnsi="楷体" w:eastAsia="楷体" w:cs="楷体"/>
                <w:color w:val="333333"/>
                <w:sz w:val="19"/>
                <w:szCs w:val="19"/>
                <w:bdr w:val="none" w:color="auto" w:sz="0" w:space="0"/>
              </w:rPr>
              <w:t>6.属于四类过程性信息</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67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both"/>
              <w:rPr>
                <w:rFonts w:hint="eastAsia" w:ascii="微软雅黑" w:hAnsi="微软雅黑" w:eastAsia="微软雅黑" w:cs="微软雅黑"/>
                <w:color w:val="333333"/>
                <w:sz w:val="25"/>
                <w:szCs w:val="25"/>
              </w:rPr>
            </w:pPr>
          </w:p>
        </w:tc>
        <w:tc>
          <w:tcPr>
            <w:tcW w:w="85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both"/>
              <w:rPr>
                <w:rFonts w:hint="eastAsia" w:ascii="微软雅黑" w:hAnsi="微软雅黑" w:eastAsia="微软雅黑" w:cs="微软雅黑"/>
                <w:color w:val="333333"/>
                <w:sz w:val="25"/>
                <w:szCs w:val="25"/>
              </w:rPr>
            </w:pPr>
          </w:p>
        </w:tc>
        <w:tc>
          <w:tcPr>
            <w:tcW w:w="208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楷体" w:hAnsi="楷体" w:eastAsia="楷体" w:cs="楷体"/>
                <w:color w:val="333333"/>
                <w:sz w:val="19"/>
                <w:szCs w:val="19"/>
                <w:bdr w:val="none" w:color="auto" w:sz="0" w:space="0"/>
              </w:rPr>
              <w:t>7.属于行政执法案卷</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 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0 </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 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0 </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 0</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 0</w:t>
            </w:r>
          </w:p>
        </w:tc>
        <w:tc>
          <w:tcPr>
            <w:tcW w:w="6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both"/>
              <w:rPr>
                <w:rFonts w:hint="eastAsia" w:ascii="微软雅黑" w:hAnsi="微软雅黑" w:eastAsia="微软雅黑" w:cs="微软雅黑"/>
                <w:color w:val="333333"/>
                <w:sz w:val="25"/>
                <w:szCs w:val="25"/>
              </w:rPr>
            </w:pPr>
          </w:p>
        </w:tc>
        <w:tc>
          <w:tcPr>
            <w:tcW w:w="85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jc w:val="both"/>
              <w:rPr>
                <w:rFonts w:hint="eastAsia" w:ascii="微软雅黑" w:hAnsi="微软雅黑" w:eastAsia="微软雅黑" w:cs="微软雅黑"/>
                <w:color w:val="333333"/>
                <w:sz w:val="25"/>
                <w:szCs w:val="25"/>
              </w:rPr>
            </w:pPr>
          </w:p>
        </w:tc>
        <w:tc>
          <w:tcPr>
            <w:tcW w:w="208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楷体" w:hAnsi="楷体" w:eastAsia="楷体" w:cs="楷体"/>
                <w:color w:val="333333"/>
                <w:sz w:val="19"/>
                <w:szCs w:val="19"/>
                <w:bdr w:val="none" w:color="auto" w:sz="0" w:space="0"/>
              </w:rPr>
              <w:t>8.属于行政查询事项</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0 </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0 </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 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 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 0</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 0</w:t>
            </w:r>
          </w:p>
        </w:tc>
        <w:tc>
          <w:tcPr>
            <w:tcW w:w="6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both"/>
              <w:rPr>
                <w:rFonts w:hint="eastAsia" w:ascii="微软雅黑" w:hAnsi="微软雅黑" w:eastAsia="微软雅黑" w:cs="微软雅黑"/>
                <w:color w:val="333333"/>
                <w:sz w:val="25"/>
                <w:szCs w:val="25"/>
              </w:rPr>
            </w:pPr>
          </w:p>
        </w:tc>
        <w:tc>
          <w:tcPr>
            <w:tcW w:w="85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楷体" w:hAnsi="楷体" w:eastAsia="楷体" w:cs="楷体"/>
                <w:color w:val="333333"/>
                <w:sz w:val="19"/>
                <w:szCs w:val="19"/>
                <w:bdr w:val="none" w:color="auto" w:sz="0" w:space="0"/>
              </w:rPr>
              <w:t>（四）无法提供</w:t>
            </w:r>
          </w:p>
        </w:tc>
        <w:tc>
          <w:tcPr>
            <w:tcW w:w="208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楷体" w:hAnsi="楷体" w:eastAsia="楷体" w:cs="楷体"/>
                <w:color w:val="333333"/>
                <w:sz w:val="19"/>
                <w:szCs w:val="19"/>
                <w:bdr w:val="none" w:color="auto" w:sz="0" w:space="0"/>
              </w:rPr>
              <w:t>1.本机关不掌握相关政府信息</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 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0 </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0 </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0 </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 0</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0 </w:t>
            </w:r>
          </w:p>
        </w:tc>
        <w:tc>
          <w:tcPr>
            <w:tcW w:w="6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both"/>
              <w:rPr>
                <w:rFonts w:hint="eastAsia" w:ascii="微软雅黑" w:hAnsi="微软雅黑" w:eastAsia="微软雅黑" w:cs="微软雅黑"/>
                <w:color w:val="333333"/>
                <w:sz w:val="25"/>
                <w:szCs w:val="25"/>
              </w:rPr>
            </w:pPr>
          </w:p>
        </w:tc>
        <w:tc>
          <w:tcPr>
            <w:tcW w:w="85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color w:val="333333"/>
                <w:sz w:val="25"/>
                <w:szCs w:val="25"/>
              </w:rPr>
            </w:pPr>
          </w:p>
        </w:tc>
        <w:tc>
          <w:tcPr>
            <w:tcW w:w="208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楷体" w:hAnsi="楷体" w:eastAsia="楷体" w:cs="楷体"/>
                <w:color w:val="333333"/>
                <w:sz w:val="19"/>
                <w:szCs w:val="19"/>
                <w:bdr w:val="none" w:color="auto" w:sz="0" w:space="0"/>
              </w:rPr>
              <w:t>2.没有现成信息需要另行制作</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0 </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0 </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0 </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 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 0</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0 </w:t>
            </w:r>
          </w:p>
        </w:tc>
        <w:tc>
          <w:tcPr>
            <w:tcW w:w="6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both"/>
              <w:rPr>
                <w:rFonts w:hint="eastAsia" w:ascii="微软雅黑" w:hAnsi="微软雅黑" w:eastAsia="微软雅黑" w:cs="微软雅黑"/>
                <w:color w:val="333333"/>
                <w:sz w:val="25"/>
                <w:szCs w:val="25"/>
              </w:rPr>
            </w:pPr>
          </w:p>
        </w:tc>
        <w:tc>
          <w:tcPr>
            <w:tcW w:w="85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color w:val="333333"/>
                <w:sz w:val="25"/>
                <w:szCs w:val="25"/>
              </w:rPr>
            </w:pPr>
          </w:p>
        </w:tc>
        <w:tc>
          <w:tcPr>
            <w:tcW w:w="208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楷体" w:hAnsi="楷体" w:eastAsia="楷体" w:cs="楷体"/>
                <w:color w:val="333333"/>
                <w:sz w:val="19"/>
                <w:szCs w:val="19"/>
                <w:bdr w:val="none" w:color="auto" w:sz="0" w:space="0"/>
              </w:rPr>
              <w:t>3.补正后申请内容仍不明确</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 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 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 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0 </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 0</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0 </w:t>
            </w:r>
          </w:p>
        </w:tc>
        <w:tc>
          <w:tcPr>
            <w:tcW w:w="6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both"/>
              <w:rPr>
                <w:rFonts w:hint="eastAsia" w:ascii="微软雅黑" w:hAnsi="微软雅黑" w:eastAsia="微软雅黑" w:cs="微软雅黑"/>
                <w:color w:val="333333"/>
                <w:sz w:val="25"/>
                <w:szCs w:val="25"/>
              </w:rPr>
            </w:pPr>
          </w:p>
        </w:tc>
        <w:tc>
          <w:tcPr>
            <w:tcW w:w="85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楷体" w:hAnsi="楷体" w:eastAsia="楷体" w:cs="楷体"/>
                <w:color w:val="333333"/>
                <w:sz w:val="19"/>
                <w:szCs w:val="19"/>
                <w:bdr w:val="none" w:color="auto" w:sz="0" w:space="0"/>
              </w:rPr>
              <w:t>（五）不予处理</w:t>
            </w:r>
          </w:p>
        </w:tc>
        <w:tc>
          <w:tcPr>
            <w:tcW w:w="208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楷体" w:hAnsi="楷体" w:eastAsia="楷体" w:cs="楷体"/>
                <w:color w:val="333333"/>
                <w:sz w:val="19"/>
                <w:szCs w:val="19"/>
                <w:bdr w:val="none" w:color="auto" w:sz="0" w:space="0"/>
              </w:rPr>
              <w:t>1.信访举报投诉类申请</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 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0 </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 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0 </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0 </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 0</w:t>
            </w:r>
          </w:p>
        </w:tc>
        <w:tc>
          <w:tcPr>
            <w:tcW w:w="6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both"/>
              <w:rPr>
                <w:rFonts w:hint="eastAsia" w:ascii="微软雅黑" w:hAnsi="微软雅黑" w:eastAsia="微软雅黑" w:cs="微软雅黑"/>
                <w:color w:val="333333"/>
                <w:sz w:val="25"/>
                <w:szCs w:val="25"/>
              </w:rPr>
            </w:pPr>
          </w:p>
        </w:tc>
        <w:tc>
          <w:tcPr>
            <w:tcW w:w="85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color w:val="333333"/>
                <w:sz w:val="25"/>
                <w:szCs w:val="25"/>
              </w:rPr>
            </w:pPr>
          </w:p>
        </w:tc>
        <w:tc>
          <w:tcPr>
            <w:tcW w:w="208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楷体" w:hAnsi="楷体" w:eastAsia="楷体" w:cs="楷体"/>
                <w:color w:val="333333"/>
                <w:sz w:val="19"/>
                <w:szCs w:val="19"/>
                <w:bdr w:val="none" w:color="auto" w:sz="0" w:space="0"/>
              </w:rPr>
              <w:t>2.重复申请</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 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0 </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0 </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 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0 </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 0</w:t>
            </w:r>
          </w:p>
        </w:tc>
        <w:tc>
          <w:tcPr>
            <w:tcW w:w="6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both"/>
              <w:rPr>
                <w:rFonts w:hint="eastAsia" w:ascii="微软雅黑" w:hAnsi="微软雅黑" w:eastAsia="微软雅黑" w:cs="微软雅黑"/>
                <w:color w:val="333333"/>
                <w:sz w:val="25"/>
                <w:szCs w:val="25"/>
              </w:rPr>
            </w:pPr>
          </w:p>
        </w:tc>
        <w:tc>
          <w:tcPr>
            <w:tcW w:w="85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color w:val="333333"/>
                <w:sz w:val="25"/>
                <w:szCs w:val="25"/>
              </w:rPr>
            </w:pPr>
          </w:p>
        </w:tc>
        <w:tc>
          <w:tcPr>
            <w:tcW w:w="208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楷体" w:hAnsi="楷体" w:eastAsia="楷体" w:cs="楷体"/>
                <w:color w:val="333333"/>
                <w:sz w:val="19"/>
                <w:szCs w:val="19"/>
                <w:bdr w:val="none" w:color="auto" w:sz="0" w:space="0"/>
              </w:rPr>
              <w:t>3.要求提供公开出版物</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 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 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 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0 </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0 </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0 </w:t>
            </w:r>
          </w:p>
        </w:tc>
        <w:tc>
          <w:tcPr>
            <w:tcW w:w="6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both"/>
              <w:rPr>
                <w:rFonts w:hint="eastAsia" w:ascii="微软雅黑" w:hAnsi="微软雅黑" w:eastAsia="微软雅黑" w:cs="微软雅黑"/>
                <w:color w:val="333333"/>
                <w:sz w:val="25"/>
                <w:szCs w:val="25"/>
              </w:rPr>
            </w:pPr>
          </w:p>
        </w:tc>
        <w:tc>
          <w:tcPr>
            <w:tcW w:w="85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color w:val="333333"/>
                <w:sz w:val="25"/>
                <w:szCs w:val="25"/>
              </w:rPr>
            </w:pPr>
          </w:p>
        </w:tc>
        <w:tc>
          <w:tcPr>
            <w:tcW w:w="208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楷体" w:hAnsi="楷体" w:eastAsia="楷体" w:cs="楷体"/>
                <w:color w:val="333333"/>
                <w:sz w:val="19"/>
                <w:szCs w:val="19"/>
                <w:bdr w:val="none" w:color="auto" w:sz="0" w:space="0"/>
              </w:rPr>
              <w:t>4.无正当理由大量反复申请</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 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 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 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 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 0</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0 </w:t>
            </w:r>
          </w:p>
        </w:tc>
        <w:tc>
          <w:tcPr>
            <w:tcW w:w="6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both"/>
              <w:rPr>
                <w:rFonts w:hint="eastAsia" w:ascii="微软雅黑" w:hAnsi="微软雅黑" w:eastAsia="微软雅黑" w:cs="微软雅黑"/>
                <w:color w:val="333333"/>
                <w:sz w:val="25"/>
                <w:szCs w:val="25"/>
              </w:rPr>
            </w:pPr>
          </w:p>
        </w:tc>
        <w:tc>
          <w:tcPr>
            <w:tcW w:w="85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color w:val="333333"/>
                <w:sz w:val="25"/>
                <w:szCs w:val="25"/>
              </w:rPr>
            </w:pPr>
          </w:p>
        </w:tc>
        <w:tc>
          <w:tcPr>
            <w:tcW w:w="208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楷体" w:hAnsi="楷体" w:eastAsia="楷体" w:cs="楷体"/>
                <w:color w:val="333333"/>
                <w:sz w:val="19"/>
                <w:szCs w:val="19"/>
                <w:bdr w:val="none" w:color="auto" w:sz="0" w:space="0"/>
              </w:rPr>
              <w:t>5.要求行政机关确认或重新出具已获取信息</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0 </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0 </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 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 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0 </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0 </w:t>
            </w:r>
          </w:p>
        </w:tc>
        <w:tc>
          <w:tcPr>
            <w:tcW w:w="6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both"/>
              <w:rPr>
                <w:rFonts w:hint="eastAsia" w:ascii="微软雅黑" w:hAnsi="微软雅黑" w:eastAsia="微软雅黑" w:cs="微软雅黑"/>
                <w:color w:val="333333"/>
                <w:sz w:val="25"/>
                <w:szCs w:val="25"/>
              </w:rPr>
            </w:pPr>
          </w:p>
        </w:tc>
        <w:tc>
          <w:tcPr>
            <w:tcW w:w="2940" w:type="dxa"/>
            <w:gridSpan w:val="2"/>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楷体" w:hAnsi="楷体" w:eastAsia="楷体" w:cs="楷体"/>
                <w:color w:val="333333"/>
                <w:sz w:val="19"/>
                <w:szCs w:val="19"/>
                <w:bdr w:val="none" w:color="auto" w:sz="0" w:space="0"/>
              </w:rPr>
              <w:t>（六）其他处理</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0 </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0 </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0 </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 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 0</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19"/>
                <w:szCs w:val="19"/>
                <w:bdr w:val="none" w:color="auto" w:sz="0" w:space="0"/>
              </w:rPr>
              <w:t>0 </w:t>
            </w:r>
          </w:p>
        </w:tc>
        <w:tc>
          <w:tcPr>
            <w:tcW w:w="6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jc w:val="both"/>
              <w:rPr>
                <w:rFonts w:hint="eastAsia" w:ascii="微软雅黑" w:hAnsi="微软雅黑" w:eastAsia="微软雅黑" w:cs="微软雅黑"/>
                <w:color w:val="333333"/>
                <w:sz w:val="25"/>
                <w:szCs w:val="25"/>
              </w:rPr>
            </w:pPr>
          </w:p>
        </w:tc>
        <w:tc>
          <w:tcPr>
            <w:tcW w:w="2940" w:type="dxa"/>
            <w:gridSpan w:val="2"/>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楷体" w:hAnsi="楷体" w:eastAsia="楷体" w:cs="楷体"/>
                <w:color w:val="333333"/>
                <w:sz w:val="19"/>
                <w:szCs w:val="19"/>
                <w:bdr w:val="none" w:color="auto" w:sz="0" w:space="0"/>
              </w:rPr>
              <w:t>（七）总计</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67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3555" w:type="dxa"/>
            <w:gridSpan w:val="3"/>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333333"/>
                <w:sz w:val="19"/>
                <w:szCs w:val="19"/>
                <w:bdr w:val="none" w:color="auto" w:sz="0" w:space="0"/>
              </w:rPr>
              <w:t>四、结转下年度继续办理</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hint="default" w:ascii="Calibri" w:hAnsi="Calibri" w:eastAsia="Calibri" w:cs="Calibri"/>
                <w:color w:val="333333"/>
                <w:sz w:val="19"/>
                <w:szCs w:val="19"/>
                <w:bdr w:val="none" w:color="auto" w:sz="0" w:space="0"/>
              </w:rPr>
              <w:t> 0</w:t>
            </w:r>
          </w:p>
        </w:tc>
        <w:tc>
          <w:tcPr>
            <w:tcW w:w="67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24"/>
                <w:szCs w:val="24"/>
                <w:bdr w:val="none" w:color="auto" w:sz="0" w:space="0"/>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eastAsia" w:ascii="微软雅黑" w:hAnsi="微软雅黑" w:eastAsia="微软雅黑" w:cs="微软雅黑"/>
          <w:color w:val="333333"/>
          <w:sz w:val="25"/>
          <w:szCs w:val="25"/>
        </w:rPr>
      </w:pPr>
      <w:r>
        <w:rPr>
          <w:rFonts w:hint="default" w:ascii="Calibri" w:hAnsi="Calibri" w:eastAsia="Calibri" w:cs="Calibri"/>
          <w:color w:val="333333"/>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eastAsia" w:ascii="微软雅黑" w:hAnsi="微软雅黑" w:eastAsia="微软雅黑" w:cs="微软雅黑"/>
          <w:color w:val="333333"/>
          <w:sz w:val="25"/>
          <w:szCs w:val="25"/>
        </w:rPr>
      </w:pPr>
      <w:r>
        <w:rPr>
          <w:rFonts w:hint="eastAsia" w:ascii="宋体" w:hAnsi="宋体" w:eastAsia="宋体" w:cs="宋体"/>
          <w:color w:val="333333"/>
          <w:sz w:val="24"/>
          <w:szCs w:val="24"/>
          <w:bdr w:val="none" w:color="auto" w:sz="0" w:space="0"/>
          <w:shd w:val="clear" w:fill="FFFFFF"/>
        </w:rPr>
        <w:t>四</w:t>
      </w:r>
      <w:r>
        <w:rPr>
          <w:rFonts w:hint="default" w:ascii="方正黑体简体" w:hAnsi="方正黑体简体" w:eastAsia="方正黑体简体" w:cs="方正黑体简体"/>
          <w:color w:val="333333"/>
          <w:sz w:val="24"/>
          <w:szCs w:val="24"/>
          <w:bdr w:val="none" w:color="auto" w:sz="0" w:space="0"/>
          <w:shd w:val="clear" w:fill="FFFFFF"/>
        </w:rPr>
        <w:t>、政府信息公开行政复议、行政诉讼情况</w:t>
      </w:r>
    </w:p>
    <w:tbl>
      <w:tblPr>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3075" w:type="dxa"/>
            <w:gridSpan w:val="5"/>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行政复议</w:t>
            </w:r>
          </w:p>
        </w:tc>
        <w:tc>
          <w:tcPr>
            <w:tcW w:w="6000" w:type="dxa"/>
            <w:gridSpan w:val="10"/>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600"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结果维持</w:t>
            </w:r>
          </w:p>
        </w:tc>
        <w:tc>
          <w:tcPr>
            <w:tcW w:w="600"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结果纠正</w:t>
            </w:r>
          </w:p>
        </w:tc>
        <w:tc>
          <w:tcPr>
            <w:tcW w:w="600" w:type="dxa"/>
            <w:vMerge w:val="restart"/>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其他结果</w:t>
            </w:r>
          </w:p>
        </w:tc>
        <w:tc>
          <w:tcPr>
            <w:tcW w:w="600" w:type="dxa"/>
            <w:vMerge w:val="restart"/>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尚未审结</w:t>
            </w:r>
          </w:p>
        </w:tc>
        <w:tc>
          <w:tcPr>
            <w:tcW w:w="660" w:type="dxa"/>
            <w:vMerge w:val="restart"/>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总计</w:t>
            </w:r>
          </w:p>
        </w:tc>
        <w:tc>
          <w:tcPr>
            <w:tcW w:w="2970" w:type="dxa"/>
            <w:gridSpan w:val="5"/>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未经复议直接起诉</w:t>
            </w:r>
          </w:p>
        </w:tc>
        <w:tc>
          <w:tcPr>
            <w:tcW w:w="3030" w:type="dxa"/>
            <w:gridSpan w:val="5"/>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60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color w:val="333333"/>
                <w:sz w:val="25"/>
                <w:szCs w:val="25"/>
              </w:rPr>
            </w:pPr>
          </w:p>
        </w:tc>
        <w:tc>
          <w:tcPr>
            <w:tcW w:w="600"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color w:val="333333"/>
                <w:sz w:val="25"/>
                <w:szCs w:val="25"/>
              </w:rPr>
            </w:pPr>
          </w:p>
        </w:tc>
        <w:tc>
          <w:tcPr>
            <w:tcW w:w="600"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color w:val="333333"/>
                <w:sz w:val="25"/>
                <w:szCs w:val="25"/>
              </w:rPr>
            </w:pPr>
          </w:p>
        </w:tc>
        <w:tc>
          <w:tcPr>
            <w:tcW w:w="600"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color w:val="333333"/>
                <w:sz w:val="25"/>
                <w:szCs w:val="25"/>
              </w:rPr>
            </w:pPr>
          </w:p>
        </w:tc>
        <w:tc>
          <w:tcPr>
            <w:tcW w:w="660"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jc w:val="both"/>
              <w:rPr>
                <w:rFonts w:hint="eastAsia" w:ascii="微软雅黑" w:hAnsi="微软雅黑" w:eastAsia="微软雅黑" w:cs="微软雅黑"/>
                <w:color w:val="333333"/>
                <w:sz w:val="25"/>
                <w:szCs w:val="25"/>
              </w:rPr>
            </w:pPr>
          </w:p>
        </w:tc>
        <w:tc>
          <w:tcPr>
            <w:tcW w:w="55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结果维持</w:t>
            </w:r>
          </w:p>
        </w:tc>
        <w:tc>
          <w:tcPr>
            <w:tcW w:w="6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结果纠正</w:t>
            </w:r>
          </w:p>
        </w:tc>
        <w:tc>
          <w:tcPr>
            <w:tcW w:w="60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其他结果</w:t>
            </w:r>
          </w:p>
        </w:tc>
        <w:tc>
          <w:tcPr>
            <w:tcW w:w="60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尚未审结</w:t>
            </w:r>
          </w:p>
        </w:tc>
        <w:tc>
          <w:tcPr>
            <w:tcW w:w="60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总计</w:t>
            </w:r>
          </w:p>
        </w:tc>
        <w:tc>
          <w:tcPr>
            <w:tcW w:w="60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结果维持</w:t>
            </w:r>
          </w:p>
        </w:tc>
        <w:tc>
          <w:tcPr>
            <w:tcW w:w="60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结果纠正</w:t>
            </w:r>
          </w:p>
        </w:tc>
        <w:tc>
          <w:tcPr>
            <w:tcW w:w="60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其他结果</w:t>
            </w:r>
          </w:p>
        </w:tc>
        <w:tc>
          <w:tcPr>
            <w:tcW w:w="60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尚未审结</w:t>
            </w:r>
          </w:p>
        </w:tc>
        <w:tc>
          <w:tcPr>
            <w:tcW w:w="60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19"/>
                <w:szCs w:val="19"/>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0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21"/>
                <w:szCs w:val="21"/>
                <w:bdr w:val="none" w:color="auto" w:sz="0" w:space="0"/>
              </w:rPr>
              <w:t> 0</w:t>
            </w:r>
          </w:p>
        </w:tc>
        <w:tc>
          <w:tcPr>
            <w:tcW w:w="6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21"/>
                <w:szCs w:val="21"/>
                <w:bdr w:val="none" w:color="auto" w:sz="0" w:space="0"/>
              </w:rPr>
              <w:t>0 </w:t>
            </w:r>
          </w:p>
        </w:tc>
        <w:tc>
          <w:tcPr>
            <w:tcW w:w="6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21"/>
                <w:szCs w:val="21"/>
                <w:bdr w:val="none" w:color="auto" w:sz="0" w:space="0"/>
              </w:rPr>
              <w:t> 0</w:t>
            </w:r>
          </w:p>
        </w:tc>
        <w:tc>
          <w:tcPr>
            <w:tcW w:w="6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21"/>
                <w:szCs w:val="21"/>
                <w:bdr w:val="none" w:color="auto" w:sz="0" w:space="0"/>
              </w:rPr>
              <w:t> 0</w:t>
            </w:r>
          </w:p>
        </w:tc>
        <w:tc>
          <w:tcPr>
            <w:tcW w:w="6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24"/>
                <w:szCs w:val="24"/>
                <w:bdr w:val="none" w:color="auto" w:sz="0" w:space="0"/>
              </w:rPr>
              <w:t>0</w:t>
            </w:r>
          </w:p>
        </w:tc>
        <w:tc>
          <w:tcPr>
            <w:tcW w:w="55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21"/>
                <w:szCs w:val="21"/>
                <w:bdr w:val="none" w:color="auto" w:sz="0" w:space="0"/>
              </w:rPr>
              <w:t> 0</w:t>
            </w:r>
          </w:p>
        </w:tc>
        <w:tc>
          <w:tcPr>
            <w:tcW w:w="6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21"/>
                <w:szCs w:val="21"/>
                <w:bdr w:val="none" w:color="auto" w:sz="0" w:space="0"/>
              </w:rPr>
              <w:t>0 </w:t>
            </w:r>
          </w:p>
        </w:tc>
        <w:tc>
          <w:tcPr>
            <w:tcW w:w="6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21"/>
                <w:szCs w:val="21"/>
                <w:bdr w:val="none" w:color="auto" w:sz="0" w:space="0"/>
              </w:rPr>
              <w:t>0 </w:t>
            </w:r>
          </w:p>
        </w:tc>
        <w:tc>
          <w:tcPr>
            <w:tcW w:w="6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21"/>
                <w:szCs w:val="21"/>
                <w:bdr w:val="none" w:color="auto" w:sz="0" w:space="0"/>
              </w:rPr>
              <w:t>0 </w:t>
            </w:r>
          </w:p>
        </w:tc>
        <w:tc>
          <w:tcPr>
            <w:tcW w:w="6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21"/>
                <w:szCs w:val="21"/>
                <w:bdr w:val="none" w:color="auto" w:sz="0" w:space="0"/>
              </w:rPr>
              <w:t>0 </w:t>
            </w:r>
          </w:p>
        </w:tc>
        <w:tc>
          <w:tcPr>
            <w:tcW w:w="6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21"/>
                <w:szCs w:val="21"/>
                <w:bdr w:val="none" w:color="auto" w:sz="0" w:space="0"/>
              </w:rPr>
              <w:t>0 </w:t>
            </w:r>
          </w:p>
        </w:tc>
        <w:tc>
          <w:tcPr>
            <w:tcW w:w="6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21"/>
                <w:szCs w:val="21"/>
                <w:bdr w:val="none" w:color="auto" w:sz="0" w:space="0"/>
              </w:rPr>
              <w:t>0 </w:t>
            </w:r>
          </w:p>
        </w:tc>
        <w:tc>
          <w:tcPr>
            <w:tcW w:w="6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21"/>
                <w:szCs w:val="21"/>
                <w:bdr w:val="none" w:color="auto" w:sz="0" w:space="0"/>
              </w:rPr>
              <w:t>0 </w:t>
            </w:r>
          </w:p>
        </w:tc>
        <w:tc>
          <w:tcPr>
            <w:tcW w:w="6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default" w:ascii="Calibri" w:hAnsi="Calibri" w:eastAsia="Calibri" w:cs="Calibri"/>
                <w:color w:val="333333"/>
                <w:sz w:val="21"/>
                <w:szCs w:val="21"/>
                <w:bdr w:val="none" w:color="auto" w:sz="0" w:space="0"/>
              </w:rPr>
              <w:t> 0</w:t>
            </w:r>
          </w:p>
        </w:tc>
        <w:tc>
          <w:tcPr>
            <w:tcW w:w="6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z w:val="24"/>
                <w:szCs w:val="24"/>
                <w:bdr w:val="none" w:color="auto" w:sz="0" w:space="0"/>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center"/>
        <w:rPr>
          <w:rFonts w:hint="eastAsia" w:ascii="微软雅黑" w:hAnsi="微软雅黑" w:eastAsia="微软雅黑" w:cs="微软雅黑"/>
          <w:color w:val="333333"/>
          <w:sz w:val="25"/>
          <w:szCs w:val="25"/>
        </w:rPr>
      </w:pPr>
      <w:r>
        <w:rPr>
          <w:rFonts w:hint="eastAsia" w:ascii="宋体" w:hAnsi="宋体" w:eastAsia="宋体" w:cs="宋体"/>
          <w:color w:val="333333"/>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eastAsia" w:ascii="微软雅黑" w:hAnsi="微软雅黑" w:eastAsia="微软雅黑" w:cs="微软雅黑"/>
          <w:color w:val="333333"/>
          <w:sz w:val="25"/>
          <w:szCs w:val="25"/>
        </w:rPr>
      </w:pPr>
      <w:r>
        <w:rPr>
          <w:rFonts w:hint="eastAsia" w:ascii="宋体" w:hAnsi="宋体" w:eastAsia="宋体" w:cs="宋体"/>
          <w:color w:val="333333"/>
          <w:sz w:val="24"/>
          <w:szCs w:val="24"/>
          <w:bdr w:val="none" w:color="auto" w:sz="0" w:space="0"/>
          <w:shd w:val="clear" w:fill="FFFFFF"/>
        </w:rPr>
        <w:t>五</w:t>
      </w:r>
      <w:r>
        <w:rPr>
          <w:rFonts w:hint="default" w:ascii="方正黑体简体" w:hAnsi="方正黑体简体" w:eastAsia="方正黑体简体" w:cs="方正黑体简体"/>
          <w:color w:val="333333"/>
          <w:sz w:val="24"/>
          <w:szCs w:val="24"/>
          <w:bdr w:val="none" w:color="auto" w:sz="0" w:space="0"/>
          <w:shd w:val="clear" w:fill="FFFFFF"/>
        </w:rPr>
        <w:t>、存在的主要问题及改进情况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both"/>
        <w:rPr>
          <w:rFonts w:hint="eastAsia" w:ascii="微软雅黑" w:hAnsi="微软雅黑" w:eastAsia="微软雅黑" w:cs="微软雅黑"/>
          <w:color w:val="333333"/>
          <w:sz w:val="25"/>
          <w:szCs w:val="25"/>
        </w:rPr>
      </w:pPr>
      <w:r>
        <w:rPr>
          <w:rFonts w:hint="eastAsia" w:ascii="仿宋" w:hAnsi="仿宋" w:eastAsia="仿宋" w:cs="仿宋"/>
          <w:color w:val="555555"/>
          <w:sz w:val="24"/>
          <w:szCs w:val="24"/>
          <w:bdr w:val="none" w:color="auto" w:sz="0" w:space="0"/>
          <w:shd w:val="clear" w:fill="FFFFFF"/>
        </w:rPr>
        <w:t>2020年，我局在政府信息公开工作方面编制了涉农补贴公开目录，加大了对补贴内容的公开，方便群众及时了解相关补贴内容，但公开内容尚存在一些不足。表现在：</w:t>
      </w:r>
      <w:r>
        <w:rPr>
          <w:rFonts w:hint="eastAsia" w:ascii="仿宋_GB2312" w:hAnsi="仿宋_GB2312" w:eastAsia="仿宋_GB2312" w:cs="仿宋_GB2312"/>
          <w:color w:val="555555"/>
          <w:sz w:val="24"/>
          <w:szCs w:val="24"/>
          <w:bdr w:val="none" w:color="auto" w:sz="0" w:space="0"/>
          <w:shd w:val="clear" w:fill="FFFFFF"/>
        </w:rPr>
        <w:t>对照文件规定和上级要求，距离社会公众的愿望，都还存在一定差距。一是依法主动公开意识有待增强。二是政策解读力度还不够大，对公众关心的热点、焦点问题信息关注、回应不够。 三是政府信息公开的内容还不够深入全面，主动公开工作的日常化、常态化有待进一步加强。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80"/>
        <w:jc w:val="both"/>
        <w:rPr>
          <w:rFonts w:hint="eastAsia" w:ascii="微软雅黑" w:hAnsi="微软雅黑" w:eastAsia="微软雅黑" w:cs="微软雅黑"/>
          <w:color w:val="333333"/>
          <w:sz w:val="25"/>
          <w:szCs w:val="25"/>
        </w:rPr>
      </w:pPr>
      <w:r>
        <w:rPr>
          <w:rFonts w:hint="eastAsia" w:ascii="仿宋" w:hAnsi="仿宋" w:eastAsia="仿宋" w:cs="仿宋"/>
          <w:color w:val="555555"/>
          <w:sz w:val="24"/>
          <w:szCs w:val="24"/>
          <w:bdr w:val="none" w:color="auto" w:sz="0" w:space="0"/>
          <w:shd w:val="clear" w:fill="FFFFFF"/>
        </w:rPr>
        <w:t>2021年，我局将按照县委、县政府和上级部门的要求，进一步加强和深化政府信息公开工作，</w:t>
      </w:r>
      <w:r>
        <w:rPr>
          <w:rFonts w:hint="eastAsia" w:ascii="仿宋_GB2312" w:hAnsi="仿宋_GB2312" w:eastAsia="仿宋_GB2312" w:cs="仿宋_GB2312"/>
          <w:color w:val="555555"/>
          <w:sz w:val="24"/>
          <w:szCs w:val="24"/>
          <w:bdr w:val="none" w:color="auto" w:sz="0" w:space="0"/>
          <w:shd w:val="clear" w:fill="FFFFFF"/>
        </w:rPr>
        <w:t>在确保内容及时更新的同时，更加注重信息质量，加强政策宣传解读，全方位回应社会关切。继续优化政务审批服务，着力提升政府网站和政务新媒体在线办事体验，推进数据同源、服务同根。加强人员业务培训，提高工作能力和业务水平，在不断拓展政府信息公开的宽度和广度的同时，进一步规范政府信息公开的程序，在强化信息的时效性和工作规范化等方面下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eastAsia" w:ascii="微软雅黑" w:hAnsi="微软雅黑" w:eastAsia="微软雅黑" w:cs="微软雅黑"/>
          <w:color w:val="333333"/>
          <w:sz w:val="25"/>
          <w:szCs w:val="25"/>
        </w:rPr>
      </w:pPr>
      <w:r>
        <w:rPr>
          <w:rFonts w:hint="eastAsia" w:ascii="宋体" w:hAnsi="宋体" w:eastAsia="宋体" w:cs="宋体"/>
          <w:color w:val="333333"/>
          <w:sz w:val="24"/>
          <w:szCs w:val="24"/>
          <w:bdr w:val="none" w:color="auto" w:sz="0" w:space="0"/>
          <w:shd w:val="clear" w:fill="FFFFFF"/>
        </w:rPr>
        <w:t>六、</w:t>
      </w:r>
      <w:r>
        <w:rPr>
          <w:rFonts w:hint="default" w:ascii="方正黑体简体" w:hAnsi="方正黑体简体" w:eastAsia="方正黑体简体" w:cs="方正黑体简体"/>
          <w:color w:val="333333"/>
          <w:sz w:val="24"/>
          <w:szCs w:val="24"/>
          <w:bdr w:val="none" w:color="auto" w:sz="0" w:space="0"/>
          <w:shd w:val="clear" w:fill="FFFFFF"/>
        </w:rPr>
        <w:t>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color w:val="333333"/>
          <w:sz w:val="25"/>
          <w:szCs w:val="25"/>
        </w:rPr>
      </w:pPr>
      <w:r>
        <w:rPr>
          <w:rFonts w:hint="eastAsia" w:ascii="仿宋" w:hAnsi="仿宋" w:eastAsia="仿宋" w:cs="仿宋"/>
          <w:color w:val="555555"/>
          <w:sz w:val="24"/>
          <w:szCs w:val="24"/>
          <w:bdr w:val="none" w:color="auto" w:sz="0" w:space="0"/>
          <w:shd w:val="clear" w:fill="FFFFFF"/>
        </w:rPr>
        <w:t>无</w:t>
      </w:r>
    </w:p>
    <w:p>
      <w:pPr>
        <w:pStyle w:val="2"/>
        <w:keepNext w:val="0"/>
        <w:keepLines w:val="0"/>
        <w:widowControl/>
        <w:suppressLineNumbers w:val="0"/>
        <w:spacing w:before="75" w:beforeAutospacing="0" w:after="75" w:afterAutospacing="0"/>
        <w:ind w:left="0" w:right="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黑体简体">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B7F64"/>
    <w:rsid w:val="03F143E3"/>
    <w:rsid w:val="0823785A"/>
    <w:rsid w:val="1E494A51"/>
    <w:rsid w:val="241904B7"/>
    <w:rsid w:val="2A92644F"/>
    <w:rsid w:val="356F6ADD"/>
    <w:rsid w:val="3EC70172"/>
    <w:rsid w:val="45A038A6"/>
    <w:rsid w:val="6F2D2DB2"/>
    <w:rsid w:val="70182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2021-01-20T08:01:00Z</dcterms:created>
  <dc:creator>Administrator</dc:creator>
  <cp:lastModifiedBy>浩瀚星辰</cp:lastModifiedBy>
  <dcterms:modified xsi:type="dcterms:W3CDTF">2021-06-02T08:45:29Z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63E0D0B7B6C64A4BA47A31F3B35FDEE6</vt:lpwstr>
  </property>
</Properties>
</file>