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eastAsia="宋体"/>
          <w:bCs/>
          <w:color w:val="333333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  <w:t>铜鼓县城管局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政府信息公开工作年度报告</w:t>
      </w:r>
    </w:p>
    <w:bookmarkEnd w:id="0"/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一、总体情况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引言：本年度报告是根据《中华人民共和国政府信息公开条例》和省市有关文件要求，由铜鼓县城市管理局编制的2019年度政府信息公开年度报告。全文包括主动公开政府信息的情况、依申请公开政府信息办理情况、政府信息公开的收费及减免情况、因政府信息公开申请行政复议、提起行政诉讼的情况、政府信息公开工作中存在的主要问题及改进情况等。本年报统计数据的时限为2019年1月1日至2019年12月31日。本报告电子版在中国铜鼓政府门户网站进行公开。如对本报告有任何疑问，请与铜鼓县城市管理局信息公开领导小组办公室联系（地址：铜鼓县定江东路西湖西巷2号，邮编336200，联系电话：8690791，电子邮箱：tgcgj@163.com）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  <w:t>（一）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概述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2019年，在县委、县政府的正确领导下，铜鼓县城市管理局认真做好信息公开工作,并确保了该项工作运行正常，具体情况如下：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1.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高度重视，扎实推进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自《条例》实施以来，我局高度重视政府信息公开工作，把政府信息公开作为依法行政、精简办事手续、提升机关效能、构建和谐城管、实现科学发展的一项重要工作来抓，并纳入我局重要工作日程，认真贯彻《条例》的各项要求，政府信息公开工作扎实推进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2.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严格执行政府信息公开相关制度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　　我局结合工作实际，严格执行《铜鼓县城管局政府信息公开制度》、《铜鼓县城管局信息公开统计通报制度》、《铜鼓县城管局政府信息公开发布审查制度》和《铜鼓县城管局政府信息定期梳理汇总制度》等，自觉接受社会监督，确保我局信息公开制度化、规范化，不断提高工作质量和服务水平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  <w:t>（二）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政府信息主动公开情况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1.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公开信息的主要内容和类别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按照县政府的统一规范要求，我局组织机构、部门文件、办事指南、工作动态、计划总结、重点工程、决算预算等基本内容，都及时在县政府门户网站和部门网站向社会公布。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我局2019年度在县政府门户网站主动公开政府信息54条，政务动态31条，公示公告8条，财政预决算12条，规范性文件2条，公开年度报告1条。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2.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公开形式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一是在铜鼓县人民政府门户网站中的铜鼓政府信息公开平台，我局设立了信息公开指南，发布了县城管局信息公开指南，公众可以通过网站（http://www.tonggu.gov.cn/）查询公开的各项信息。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二是在铜鼓县城市管理局部门网站公开，公众可以通过网站（http://www.tonggu.gov.cn/xxgk-list-tgxcgjwxgucp.html)查询公开的各项信息。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  <w:t>（三）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依申请公开政府信息情况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2019年度我局没有收到以书面或其他形式要求公开政府信息的申请。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  <w:t>（四）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政府信息公开相关费用情况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我局尚未对政府信息公开工作设立专项经费项目，2019年度在政府公开信息工作上尚未发生相关费用情况。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  <w:t>（五）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申请行政复议、提起行政诉讼情况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2019年度我局未发生针对本单位有关政府信息公开事务的行政复议申请、申诉和行政诉讼案件。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二、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主动公开政府信息情况</w:t>
      </w:r>
    </w:p>
    <w:tbl>
      <w:tblPr>
        <w:tblStyle w:val="4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670438.32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302094.9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8535423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、政府信息公开行政复议、行政诉讼情况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五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、存在的主要问题及改进情况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（一）存在问题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一是信息公开的内容不够全面；二是信息更新的时效性有待加强。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（二）改进措施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一是进一步规范主动公开和依申请公开信息范围、标准和程序，县政府信息公开工作进一步常态化，提高工作层次，确保信息公开的准确性和及时性；二是完善“铜鼓县城市管理局”门户网站相关资料，提高我局信息化办事效率，及时、准确公布城市管理各项信息，方便群众了解城管发展动态，建立与政府相协调的信息化公开平台；三是加强政府信息公开工作的考核力度，把信息公开工作纳入年度考核中，将政府信息工作真正落到实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 六、其他需要报告的事项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41748"/>
    <w:rsid w:val="18382F18"/>
    <w:rsid w:val="2E4A4342"/>
    <w:rsid w:val="307B0568"/>
    <w:rsid w:val="374D61E7"/>
    <w:rsid w:val="53821133"/>
    <w:rsid w:val="54B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2020-01-22T07:41:18Z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