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00" w:lineRule="atLeast"/>
        <w:ind w:left="0" w:right="0" w:firstLine="480"/>
        <w:jc w:val="center"/>
        <w:rPr>
          <w:rStyle w:val="5"/>
          <w:rFonts w:hint="eastAsia" w:ascii="宋体" w:hAnsi="宋体" w:eastAsia="宋体" w:cs="宋体"/>
          <w:b/>
          <w:bCs w:val="0"/>
          <w:color w:val="333333"/>
          <w:sz w:val="44"/>
          <w:szCs w:val="44"/>
          <w:shd w:val="clear" w:fill="FFFFFF"/>
        </w:rPr>
      </w:pPr>
      <w:bookmarkStart w:id="0" w:name="_GoBack"/>
      <w:r>
        <w:rPr>
          <w:rStyle w:val="5"/>
          <w:rFonts w:hint="eastAsia" w:ascii="宋体" w:hAnsi="宋体" w:eastAsia="宋体" w:cs="宋体"/>
          <w:b/>
          <w:bCs w:val="0"/>
          <w:color w:val="333333"/>
          <w:sz w:val="44"/>
          <w:szCs w:val="44"/>
          <w:shd w:val="clear" w:fill="FFFFFF"/>
        </w:rPr>
        <w:t>铜鼓县农业农村局2019年政府信息公开工作年度报告</w:t>
      </w:r>
    </w:p>
    <w:bookmarkEnd w:id="0"/>
    <w:p>
      <w:pPr>
        <w:pStyle w:val="2"/>
        <w:keepNext w:val="0"/>
        <w:keepLines w:val="0"/>
        <w:widowControl/>
        <w:suppressLineNumbers w:val="0"/>
        <w:shd w:val="clear" w:fill="FFFFFF"/>
        <w:spacing w:before="0" w:beforeAutospacing="0" w:after="0" w:afterAutospacing="0" w:line="600" w:lineRule="atLeast"/>
        <w:ind w:left="0" w:right="0" w:firstLine="480"/>
        <w:jc w:val="both"/>
      </w:pPr>
      <w:r>
        <w:rPr>
          <w:rStyle w:val="5"/>
          <w:rFonts w:hint="eastAsia" w:ascii="宋体" w:hAnsi="宋体" w:eastAsia="宋体" w:cs="宋体"/>
          <w:color w:val="333333"/>
          <w:sz w:val="24"/>
          <w:szCs w:val="24"/>
          <w:shd w:val="clear" w:fill="FFFFFF"/>
        </w:rPr>
        <w:t>​​一、总体情况</w:t>
      </w:r>
    </w:p>
    <w:p>
      <w:pPr>
        <w:pStyle w:val="2"/>
        <w:keepNext w:val="0"/>
        <w:keepLines w:val="0"/>
        <w:widowControl/>
        <w:suppressLineNumbers w:val="0"/>
        <w:spacing w:before="75" w:beforeAutospacing="0" w:after="75" w:afterAutospacing="0" w:line="405" w:lineRule="atLeast"/>
        <w:ind w:left="0" w:right="0" w:firstLine="480"/>
      </w:pPr>
      <w:r>
        <w:rPr>
          <w:rFonts w:ascii="仿宋" w:hAnsi="仿宋" w:eastAsia="仿宋" w:cs="仿宋"/>
          <w:color w:val="555555"/>
          <w:sz w:val="24"/>
          <w:szCs w:val="24"/>
          <w:shd w:val="clear" w:fill="FFFFFF"/>
        </w:rPr>
        <w:t>为深入推进我局政务信息公开工作，根据《中华人民共和国政府信息公开条例》等文件要求，我局始终把以</w:t>
      </w:r>
      <w:r>
        <w:rPr>
          <w:rFonts w:hint="eastAsia" w:ascii="仿宋" w:hAnsi="仿宋" w:eastAsia="仿宋" w:cs="仿宋"/>
          <w:color w:val="555555"/>
          <w:sz w:val="24"/>
          <w:szCs w:val="24"/>
          <w:shd w:val="clear" w:fill="FFFFFF"/>
        </w:rPr>
        <w:t>农业农村为主要内容的政务公开作为依法执政的重要内容和有效手段，以县政府信息公开平台为基础，同时结合微信公众号等新媒体，依法及时公开各类政务信息，取得了一定的效果。我局高度重视政务公开工作，指定一名办公室人员为政务公开专职人员，全面负责局政务公开工作，为扎实高效准确开展工作打下坚实的组织基础。为确保信息公开透明又实用规范，按照“控制源头、加强检查、明确责任、落实制度”的原则，局制定了局政府信息公开目录、信息公开指南及相关工作制度等相关工作方案，明确了工作职责和追究办法。截至日前，我局的编辑、发布和更新的各类信息共计143条，事关群众切身利益的事项及时公开。</w:t>
      </w:r>
    </w:p>
    <w:p>
      <w:pPr>
        <w:pStyle w:val="2"/>
        <w:keepNext w:val="0"/>
        <w:keepLines w:val="0"/>
        <w:widowControl/>
        <w:suppressLineNumbers w:val="0"/>
        <w:shd w:val="clear" w:fill="FFFFFF"/>
        <w:spacing w:before="0" w:beforeAutospacing="0" w:after="0" w:afterAutospacing="0" w:line="600" w:lineRule="atLeast"/>
        <w:ind w:left="0" w:right="0" w:firstLine="480"/>
        <w:jc w:val="both"/>
      </w:pPr>
      <w:r>
        <w:rPr>
          <w:rStyle w:val="5"/>
          <w:rFonts w:hint="eastAsia" w:ascii="宋体" w:hAnsi="宋体" w:eastAsia="宋体" w:cs="宋体"/>
          <w:color w:val="333333"/>
          <w:sz w:val="24"/>
          <w:szCs w:val="24"/>
          <w:shd w:val="clear" w:fill="FFFFFF"/>
        </w:rPr>
        <w:t>二、主动公开政府信息情况</w:t>
      </w:r>
    </w:p>
    <w:tbl>
      <w:tblPr>
        <w:tblW w:w="8145" w:type="dxa"/>
        <w:tblInd w:w="0" w:type="dxa"/>
        <w:shd w:val="clear"/>
        <w:tblLayout w:type="autofit"/>
        <w:tblCellMar>
          <w:top w:w="15" w:type="dxa"/>
          <w:left w:w="15" w:type="dxa"/>
          <w:bottom w:w="15" w:type="dxa"/>
          <w:right w:w="15" w:type="dxa"/>
        </w:tblCellMar>
      </w:tblPr>
      <w:tblGrid>
        <w:gridCol w:w="3120"/>
        <w:gridCol w:w="1875"/>
        <w:gridCol w:w="1275"/>
        <w:gridCol w:w="1875"/>
      </w:tblGrid>
      <w:tr>
        <w:tblPrEx>
          <w:tblCellMar>
            <w:top w:w="15" w:type="dxa"/>
            <w:left w:w="15" w:type="dxa"/>
            <w:bottom w:w="15" w:type="dxa"/>
            <w:right w:w="15" w:type="dxa"/>
          </w:tblCellMar>
        </w:tblPrEx>
        <w:trPr>
          <w:trHeight w:val="495" w:hRule="atLeast"/>
        </w:trPr>
        <w:tc>
          <w:tcPr>
            <w:tcW w:w="8145" w:type="dxa"/>
            <w:gridSpan w:val="4"/>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第二十条第（一）项</w:t>
            </w:r>
          </w:p>
        </w:tc>
      </w:tr>
      <w:tr>
        <w:tblPrEx>
          <w:tblCellMar>
            <w:top w:w="15" w:type="dxa"/>
            <w:left w:w="15" w:type="dxa"/>
            <w:bottom w:w="15" w:type="dxa"/>
            <w:right w:w="15" w:type="dxa"/>
          </w:tblCellMar>
        </w:tblPrEx>
        <w:trPr>
          <w:trHeight w:val="885" w:hRule="atLeast"/>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本年新</w:t>
            </w:r>
            <w:r>
              <w:rPr>
                <w:rFonts w:hint="eastAsia" w:ascii="宋体" w:hAnsi="宋体" w:eastAsia="宋体" w:cs="宋体"/>
                <w:sz w:val="19"/>
                <w:szCs w:val="19"/>
              </w:rPr>
              <w:br w:type="textWrapping"/>
            </w:r>
            <w:r>
              <w:rPr>
                <w:rFonts w:ascii="Calibri" w:hAnsi="Calibri" w:eastAsia="Calibri" w:cs="Calibri"/>
                <w:sz w:val="19"/>
                <w:szCs w:val="19"/>
              </w:rPr>
              <w:t>制作数量</w:t>
            </w:r>
          </w:p>
        </w:tc>
        <w:tc>
          <w:tcPr>
            <w:tcW w:w="12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本年新</w:t>
            </w:r>
            <w:r>
              <w:rPr>
                <w:rFonts w:hint="eastAsia" w:ascii="宋体" w:hAnsi="宋体" w:eastAsia="宋体" w:cs="宋体"/>
                <w:sz w:val="19"/>
                <w:szCs w:val="19"/>
              </w:rPr>
              <w:br w:type="textWrapping"/>
            </w:r>
            <w:r>
              <w:rPr>
                <w:rFonts w:hint="default" w:ascii="Calibri" w:hAnsi="Calibri" w:eastAsia="Calibri" w:cs="Calibri"/>
                <w:sz w:val="19"/>
                <w:szCs w:val="19"/>
              </w:rPr>
              <w:t>公开数量</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对外公开总数量</w:t>
            </w:r>
          </w:p>
        </w:tc>
      </w:tr>
      <w:tr>
        <w:tblPrEx>
          <w:tblCellMar>
            <w:top w:w="15" w:type="dxa"/>
            <w:left w:w="15" w:type="dxa"/>
            <w:bottom w:w="15" w:type="dxa"/>
            <w:right w:w="15"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宋体" w:hAnsi="宋体" w:eastAsia="宋体" w:cs="宋体"/>
                <w:sz w:val="19"/>
                <w:szCs w:val="19"/>
              </w:rPr>
              <w:t>规章</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c>
          <w:tcPr>
            <w:tcW w:w="12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CellMar>
            <w:top w:w="15" w:type="dxa"/>
            <w:left w:w="15" w:type="dxa"/>
            <w:bottom w:w="15" w:type="dxa"/>
            <w:right w:w="15" w:type="dxa"/>
          </w:tblCellMar>
        </w:tblPrEx>
        <w:trPr>
          <w:trHeight w:val="465" w:hRule="atLeast"/>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宋体" w:hAnsi="宋体" w:eastAsia="宋体" w:cs="宋体"/>
                <w:sz w:val="19"/>
                <w:szCs w:val="19"/>
              </w:rPr>
              <w:t>规范性文件</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15</w:t>
            </w:r>
          </w:p>
        </w:tc>
        <w:tc>
          <w:tcPr>
            <w:tcW w:w="12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15</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15</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第二十条第（五）项</w:t>
            </w:r>
          </w:p>
        </w:tc>
      </w:tr>
      <w:tr>
        <w:tblPrEx>
          <w:tblCellMar>
            <w:top w:w="15" w:type="dxa"/>
            <w:left w:w="15" w:type="dxa"/>
            <w:bottom w:w="15" w:type="dxa"/>
            <w:right w:w="15"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本年增/减</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处理决定数量</w:t>
            </w:r>
          </w:p>
        </w:tc>
      </w:tr>
      <w:tr>
        <w:tblPrEx>
          <w:tblCellMar>
            <w:top w:w="15" w:type="dxa"/>
            <w:left w:w="15" w:type="dxa"/>
            <w:bottom w:w="15" w:type="dxa"/>
            <w:right w:w="15"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宋体" w:hAnsi="宋体" w:eastAsia="宋体" w:cs="宋体"/>
                <w:sz w:val="19"/>
                <w:szCs w:val="19"/>
              </w:rPr>
              <w:t>行政许可</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c>
          <w:tcPr>
            <w:tcW w:w="1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CellMar>
            <w:top w:w="15" w:type="dxa"/>
            <w:left w:w="15" w:type="dxa"/>
            <w:bottom w:w="15" w:type="dxa"/>
            <w:right w:w="15"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宋体" w:hAnsi="宋体" w:eastAsia="宋体" w:cs="宋体"/>
                <w:sz w:val="19"/>
                <w:szCs w:val="19"/>
              </w:rPr>
              <w:t>其他对外管理服务事项</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c>
          <w:tcPr>
            <w:tcW w:w="1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CellMar>
            <w:top w:w="15" w:type="dxa"/>
            <w:left w:w="15" w:type="dxa"/>
            <w:bottom w:w="15" w:type="dxa"/>
            <w:right w:w="15" w:type="dxa"/>
          </w:tblCellMar>
        </w:tblPrEx>
        <w:trPr>
          <w:trHeight w:val="405" w:hRule="atLeast"/>
        </w:trPr>
        <w:tc>
          <w:tcPr>
            <w:tcW w:w="8145" w:type="dxa"/>
            <w:gridSpan w:val="4"/>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第二十条第（六）项</w:t>
            </w:r>
          </w:p>
        </w:tc>
      </w:tr>
      <w:tr>
        <w:tblPrEx>
          <w:tblCellMar>
            <w:top w:w="15" w:type="dxa"/>
            <w:left w:w="15" w:type="dxa"/>
            <w:bottom w:w="15" w:type="dxa"/>
            <w:right w:w="15"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上一年项目数量</w:t>
            </w:r>
          </w:p>
        </w:tc>
        <w:tc>
          <w:tcPr>
            <w:tcW w:w="12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本年增/减</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处理决定数量</w:t>
            </w:r>
          </w:p>
        </w:tc>
      </w:tr>
      <w:tr>
        <w:tblPrEx>
          <w:tblCellMar>
            <w:top w:w="15" w:type="dxa"/>
            <w:left w:w="15" w:type="dxa"/>
            <w:bottom w:w="15" w:type="dxa"/>
            <w:right w:w="15" w:type="dxa"/>
          </w:tblCellMar>
        </w:tblPrEx>
        <w:trPr>
          <w:trHeight w:val="435" w:hRule="atLeast"/>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宋体" w:hAnsi="宋体" w:eastAsia="宋体" w:cs="宋体"/>
                <w:sz w:val="19"/>
                <w:szCs w:val="19"/>
              </w:rPr>
              <w:t>行政处罚</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c>
          <w:tcPr>
            <w:tcW w:w="1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CellMar>
            <w:top w:w="15" w:type="dxa"/>
            <w:left w:w="15" w:type="dxa"/>
            <w:bottom w:w="15" w:type="dxa"/>
            <w:right w:w="15" w:type="dxa"/>
          </w:tblCellMar>
        </w:tblPrEx>
        <w:trPr>
          <w:trHeight w:val="405" w:hRule="atLeast"/>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宋体" w:hAnsi="宋体" w:eastAsia="宋体" w:cs="宋体"/>
                <w:sz w:val="19"/>
                <w:szCs w:val="19"/>
              </w:rPr>
              <w:t>行政强制</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c>
          <w:tcPr>
            <w:tcW w:w="1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第二十条第（八）项</w:t>
            </w:r>
          </w:p>
        </w:tc>
      </w:tr>
      <w:tr>
        <w:tblPrEx>
          <w:tblCellMar>
            <w:top w:w="15" w:type="dxa"/>
            <w:left w:w="15" w:type="dxa"/>
            <w:bottom w:w="15" w:type="dxa"/>
            <w:right w:w="15" w:type="dxa"/>
          </w:tblCellMar>
        </w:tblPrEx>
        <w:trPr>
          <w:trHeight w:val="270" w:hRule="atLeast"/>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信息内容</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宋体" w:hAnsi="宋体" w:eastAsia="宋体" w:cs="宋体"/>
                <w:sz w:val="19"/>
                <w:szCs w:val="19"/>
              </w:rPr>
              <w:t>上一年项目数量</w:t>
            </w:r>
          </w:p>
        </w:tc>
        <w:tc>
          <w:tcPr>
            <w:tcW w:w="3150" w:type="dxa"/>
            <w:gridSpan w:val="2"/>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本年增/减</w:t>
            </w:r>
          </w:p>
        </w:tc>
      </w:tr>
      <w:tr>
        <w:tblPrEx>
          <w:tblCellMar>
            <w:top w:w="15" w:type="dxa"/>
            <w:left w:w="15" w:type="dxa"/>
            <w:bottom w:w="15" w:type="dxa"/>
            <w:right w:w="15"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宋体" w:hAnsi="宋体" w:eastAsia="宋体" w:cs="宋体"/>
                <w:sz w:val="19"/>
                <w:szCs w:val="19"/>
              </w:rPr>
              <w:t>行政事业性收费</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c>
          <w:tcPr>
            <w:tcW w:w="3150"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CellMar>
            <w:top w:w="15" w:type="dxa"/>
            <w:left w:w="15" w:type="dxa"/>
            <w:bottom w:w="15" w:type="dxa"/>
            <w:right w:w="15" w:type="dxa"/>
          </w:tblCellMar>
        </w:tblPrEx>
        <w:trPr>
          <w:trHeight w:val="480" w:hRule="atLeast"/>
        </w:trPr>
        <w:tc>
          <w:tcPr>
            <w:tcW w:w="8145" w:type="dxa"/>
            <w:gridSpan w:val="4"/>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第二十条第（九）项</w:t>
            </w:r>
          </w:p>
        </w:tc>
      </w:tr>
      <w:tr>
        <w:tblPrEx>
          <w:tblCellMar>
            <w:top w:w="15" w:type="dxa"/>
            <w:left w:w="15" w:type="dxa"/>
            <w:bottom w:w="15" w:type="dxa"/>
            <w:right w:w="15" w:type="dxa"/>
          </w:tblCellMar>
        </w:tblPrEx>
        <w:trPr>
          <w:trHeight w:val="585" w:hRule="atLeast"/>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hint="eastAsia" w:ascii="宋体" w:hAnsi="宋体" w:eastAsia="宋体" w:cs="宋体"/>
                <w:sz w:val="19"/>
                <w:szCs w:val="19"/>
              </w:rPr>
              <w:t>信息内容</w:t>
            </w:r>
          </w:p>
        </w:tc>
        <w:tc>
          <w:tcPr>
            <w:tcW w:w="18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hint="eastAsia" w:ascii="宋体" w:hAnsi="宋体" w:eastAsia="宋体" w:cs="宋体"/>
                <w:sz w:val="19"/>
                <w:szCs w:val="19"/>
              </w:rPr>
              <w:t>采购项目数量</w:t>
            </w:r>
          </w:p>
        </w:tc>
        <w:tc>
          <w:tcPr>
            <w:tcW w:w="3150" w:type="dxa"/>
            <w:gridSpan w:val="2"/>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hint="eastAsia" w:ascii="宋体" w:hAnsi="宋体" w:eastAsia="宋体" w:cs="宋体"/>
                <w:sz w:val="19"/>
                <w:szCs w:val="19"/>
              </w:rPr>
              <w:t>采购总金额</w:t>
            </w:r>
          </w:p>
        </w:tc>
      </w:tr>
      <w:tr>
        <w:tblPrEx>
          <w:tblCellMar>
            <w:top w:w="15" w:type="dxa"/>
            <w:left w:w="15" w:type="dxa"/>
            <w:bottom w:w="15" w:type="dxa"/>
            <w:right w:w="15" w:type="dxa"/>
          </w:tblCellMar>
        </w:tblPrEx>
        <w:trPr>
          <w:trHeight w:val="540" w:hRule="atLeast"/>
        </w:trPr>
        <w:tc>
          <w:tcPr>
            <w:tcW w:w="312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hint="eastAsia" w:ascii="宋体" w:hAnsi="宋体" w:eastAsia="宋体" w:cs="宋体"/>
                <w:sz w:val="19"/>
                <w:szCs w:val="19"/>
              </w:rPr>
              <w:t>政府集中采购</w:t>
            </w:r>
          </w:p>
        </w:tc>
        <w:tc>
          <w:tcPr>
            <w:tcW w:w="18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c>
          <w:tcPr>
            <w:tcW w:w="3150" w:type="dxa"/>
            <w:gridSpan w:val="2"/>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24"/>
                <w:szCs w:val="24"/>
              </w:rPr>
              <w:t>0</w:t>
            </w:r>
          </w:p>
        </w:tc>
      </w:tr>
    </w:tbl>
    <w:p>
      <w:pPr>
        <w:pStyle w:val="2"/>
        <w:keepNext w:val="0"/>
        <w:keepLines w:val="0"/>
        <w:widowControl/>
        <w:suppressLineNumbers w:val="0"/>
        <w:shd w:val="clear" w:fill="FFFFFF"/>
        <w:spacing w:before="0" w:beforeAutospacing="0" w:after="0" w:afterAutospacing="0" w:line="600" w:lineRule="atLeast"/>
        <w:ind w:left="0" w:right="0"/>
        <w:jc w:val="both"/>
      </w:pPr>
      <w:r>
        <w:rPr>
          <w:rFonts w:hint="eastAsia" w:ascii="宋体" w:hAnsi="宋体" w:eastAsia="宋体" w:cs="宋体"/>
          <w:color w:val="333333"/>
          <w:sz w:val="24"/>
          <w:szCs w:val="24"/>
          <w:shd w:val="clear" w:fill="FFFFFF"/>
        </w:rPr>
        <w:t> </w:t>
      </w:r>
    </w:p>
    <w:p>
      <w:pPr>
        <w:pStyle w:val="2"/>
        <w:keepNext w:val="0"/>
        <w:keepLines w:val="0"/>
        <w:widowControl/>
        <w:suppressLineNumbers w:val="0"/>
        <w:shd w:val="clear" w:fill="FFFFFF"/>
        <w:spacing w:before="0" w:beforeAutospacing="0" w:after="0" w:afterAutospacing="0" w:line="600" w:lineRule="atLeast"/>
        <w:ind w:left="0" w:right="0" w:firstLine="240"/>
        <w:jc w:val="both"/>
      </w:pPr>
      <w:r>
        <w:rPr>
          <w:rFonts w:hint="eastAsia" w:ascii="宋体" w:hAnsi="宋体" w:eastAsia="宋体" w:cs="宋体"/>
          <w:color w:val="333333"/>
          <w:sz w:val="24"/>
          <w:szCs w:val="24"/>
          <w:shd w:val="clear" w:fill="FFFFFF"/>
        </w:rPr>
        <w:t>三、</w:t>
      </w:r>
      <w:r>
        <w:rPr>
          <w:rFonts w:ascii="方正黑体简体" w:hAnsi="方正黑体简体" w:eastAsia="方正黑体简体" w:cs="方正黑体简体"/>
          <w:color w:val="333333"/>
          <w:sz w:val="24"/>
          <w:szCs w:val="24"/>
          <w:shd w:val="clear" w:fill="FFFFFF"/>
        </w:rPr>
        <w:t>收到和处理政府信息公开申请情况</w:t>
      </w:r>
    </w:p>
    <w:tbl>
      <w:tblPr>
        <w:tblW w:w="907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15"/>
        <w:gridCol w:w="855"/>
        <w:gridCol w:w="2085"/>
        <w:gridCol w:w="810"/>
        <w:gridCol w:w="750"/>
        <w:gridCol w:w="750"/>
        <w:gridCol w:w="810"/>
        <w:gridCol w:w="975"/>
        <w:gridCol w:w="735"/>
        <w:gridCol w:w="6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3555" w:type="dxa"/>
            <w:gridSpan w:val="3"/>
            <w:vMerge w:val="restart"/>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（本列数据的勾稽关系为：第一项加第二项之和，等于第三项加第四项之和）</w:t>
            </w:r>
          </w:p>
        </w:tc>
        <w:tc>
          <w:tcPr>
            <w:tcW w:w="5505" w:type="dxa"/>
            <w:gridSpan w:val="7"/>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555" w:type="dxa"/>
            <w:gridSpan w:val="3"/>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1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自然人</w:t>
            </w:r>
          </w:p>
        </w:tc>
        <w:tc>
          <w:tcPr>
            <w:tcW w:w="4020" w:type="dxa"/>
            <w:gridSpan w:val="5"/>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法人或其他组织</w:t>
            </w:r>
          </w:p>
        </w:tc>
        <w:tc>
          <w:tcPr>
            <w:tcW w:w="675"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555" w:type="dxa"/>
            <w:gridSpan w:val="3"/>
            <w:vMerge w:val="continue"/>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81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商业企业</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科研机构</w:t>
            </w:r>
          </w:p>
        </w:tc>
        <w:tc>
          <w:tcPr>
            <w:tcW w:w="81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社会公益组织</w:t>
            </w:r>
          </w:p>
        </w:tc>
        <w:tc>
          <w:tcPr>
            <w:tcW w:w="97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法律服务机构</w:t>
            </w:r>
          </w:p>
        </w:tc>
        <w:tc>
          <w:tcPr>
            <w:tcW w:w="72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其他</w:t>
            </w:r>
          </w:p>
        </w:tc>
        <w:tc>
          <w:tcPr>
            <w:tcW w:w="675"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3555"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宋体" w:hAnsi="宋体" w:eastAsia="宋体" w:cs="宋体"/>
                <w:sz w:val="19"/>
                <w:szCs w:val="19"/>
              </w:rPr>
              <w:t>一、本年新收政府信息公开申请数量</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3555"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宋体" w:hAnsi="宋体" w:eastAsia="宋体" w:cs="宋体"/>
                <w:sz w:val="19"/>
                <w:szCs w:val="19"/>
              </w:rPr>
              <w:t>二、上年结转政府信息公开申请数量</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5"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hint="eastAsia" w:ascii="宋体" w:hAnsi="宋体" w:eastAsia="宋体" w:cs="宋体"/>
                <w:sz w:val="19"/>
                <w:szCs w:val="19"/>
              </w:rPr>
              <w:t>三、本年度办理结果</w:t>
            </w:r>
          </w:p>
        </w:tc>
        <w:tc>
          <w:tcPr>
            <w:tcW w:w="294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ascii="楷体" w:hAnsi="楷体" w:eastAsia="楷体" w:cs="楷体"/>
                <w:sz w:val="19"/>
                <w:szCs w:val="19"/>
              </w:rPr>
              <w:t>（一）予以公开</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hint="default" w:ascii="Calibri" w:hAnsi="Calibri" w:eastAsia="Calibri" w:cs="Calibri"/>
                <w:sz w:val="19"/>
                <w:szCs w:val="19"/>
              </w:rPr>
              <w:t> 0</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67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294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（二）部分公开（区分处理的，只计这一情形，不计其他情形）</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0 </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0 </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（三）不予公开</w:t>
            </w:r>
          </w:p>
        </w:tc>
        <w:tc>
          <w:tcPr>
            <w:tcW w:w="208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1.属于国家秘密</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675"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2.其他法律行政法规禁止公开</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3.危及“三安全一稳定”</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4.保护第三方合法权益</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0 </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5.属于三类内部事务信息</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0 </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6.属于四类过程性信息</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7.属于行政执法案卷</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8.属于行政查询事项</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（四）无法提供</w:t>
            </w:r>
          </w:p>
        </w:tc>
        <w:tc>
          <w:tcPr>
            <w:tcW w:w="20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1.本机关不掌握相关政府信息</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2.没有现成信息需要另行制作</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3.补正后申请内容仍不明确</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85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（五）不予处理</w:t>
            </w:r>
          </w:p>
        </w:tc>
        <w:tc>
          <w:tcPr>
            <w:tcW w:w="20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1.信访举报投诉类申请</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2.重复申请</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3.要求提供公开出版物</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4.无正当理由大量反复申请</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85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5.要求行政机关确认或重新出具已获取信息</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294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（六）其他处理</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19"/>
                <w:szCs w:val="19"/>
              </w:rPr>
              <w:t>0 </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15"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rPr>
                <w:rFonts w:hint="eastAsia" w:ascii="宋体"/>
                <w:sz w:val="24"/>
                <w:szCs w:val="24"/>
              </w:rPr>
            </w:pPr>
          </w:p>
        </w:tc>
        <w:tc>
          <w:tcPr>
            <w:tcW w:w="2940" w:type="dxa"/>
            <w:gridSpan w:val="2"/>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hint="eastAsia" w:ascii="楷体" w:hAnsi="楷体" w:eastAsia="楷体" w:cs="楷体"/>
                <w:sz w:val="19"/>
                <w:szCs w:val="19"/>
              </w:rPr>
              <w:t>（七）总计</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0 </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3555"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pPr>
            <w:r>
              <w:rPr>
                <w:rFonts w:hint="eastAsia" w:ascii="宋体" w:hAnsi="宋体" w:eastAsia="宋体" w:cs="宋体"/>
                <w:sz w:val="19"/>
                <w:szCs w:val="19"/>
              </w:rPr>
              <w:t>四、结转下年度继续办理</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5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81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9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72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wordWrap w:val="0"/>
              <w:spacing w:before="75" w:beforeAutospacing="0" w:after="75" w:afterAutospacing="0" w:line="600" w:lineRule="atLeast"/>
              <w:ind w:left="0" w:right="0"/>
            </w:pPr>
            <w:r>
              <w:rPr>
                <w:rFonts w:hint="default" w:ascii="Calibri" w:hAnsi="Calibri" w:eastAsia="Calibri" w:cs="Calibri"/>
                <w:sz w:val="19"/>
                <w:szCs w:val="19"/>
              </w:rPr>
              <w:t> 0</w:t>
            </w:r>
          </w:p>
        </w:tc>
        <w:tc>
          <w:tcPr>
            <w:tcW w:w="675"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24"/>
                <w:szCs w:val="24"/>
              </w:rPr>
              <w:t>0</w:t>
            </w:r>
          </w:p>
        </w:tc>
      </w:tr>
    </w:tbl>
    <w:p>
      <w:pPr>
        <w:pStyle w:val="2"/>
        <w:keepNext w:val="0"/>
        <w:keepLines w:val="0"/>
        <w:widowControl/>
        <w:suppressLineNumbers w:val="0"/>
        <w:shd w:val="clear" w:fill="FFFFFF"/>
        <w:spacing w:before="0" w:beforeAutospacing="0" w:after="0" w:afterAutospacing="0" w:line="600" w:lineRule="atLeast"/>
        <w:ind w:left="0" w:right="0" w:firstLine="420"/>
        <w:jc w:val="both"/>
      </w:pPr>
      <w:r>
        <w:rPr>
          <w:rFonts w:hint="default" w:ascii="Calibri" w:hAnsi="Calibri" w:eastAsia="Calibri" w:cs="Calibri"/>
          <w:color w:val="333333"/>
          <w:sz w:val="24"/>
          <w:szCs w:val="24"/>
          <w:shd w:val="clear" w:fill="FFFFFF"/>
        </w:rPr>
        <w:t> </w:t>
      </w:r>
    </w:p>
    <w:p>
      <w:pPr>
        <w:pStyle w:val="2"/>
        <w:keepNext w:val="0"/>
        <w:keepLines w:val="0"/>
        <w:widowControl/>
        <w:suppressLineNumbers w:val="0"/>
        <w:shd w:val="clear" w:fill="FFFFFF"/>
        <w:spacing w:before="0" w:beforeAutospacing="0" w:after="0" w:afterAutospacing="0" w:line="600" w:lineRule="atLeast"/>
        <w:ind w:left="0" w:right="0" w:firstLine="420"/>
        <w:jc w:val="both"/>
      </w:pPr>
      <w:r>
        <w:rPr>
          <w:rFonts w:hint="eastAsia" w:ascii="宋体" w:hAnsi="宋体" w:eastAsia="宋体" w:cs="宋体"/>
          <w:color w:val="333333"/>
          <w:sz w:val="24"/>
          <w:szCs w:val="24"/>
          <w:shd w:val="clear" w:fill="FFFFFF"/>
        </w:rPr>
        <w:t>四</w:t>
      </w:r>
      <w:r>
        <w:rPr>
          <w:rFonts w:hint="default" w:ascii="方正黑体简体" w:hAnsi="方正黑体简体" w:eastAsia="方正黑体简体" w:cs="方正黑体简体"/>
          <w:color w:val="333333"/>
          <w:sz w:val="24"/>
          <w:szCs w:val="24"/>
          <w:shd w:val="clear" w:fill="FFFFFF"/>
        </w:rPr>
        <w:t>、政府信息公开行政复议、行政诉讼情况</w:t>
      </w:r>
    </w:p>
    <w:tbl>
      <w:tblPr>
        <w:tblW w:w="907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3075" w:type="dxa"/>
            <w:gridSpan w:val="5"/>
            <w:tcBorders>
              <w:top w:val="single" w:color="000000" w:sz="6" w:space="0"/>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行政复议</w:t>
            </w:r>
          </w:p>
        </w:tc>
        <w:tc>
          <w:tcPr>
            <w:tcW w:w="6000" w:type="dxa"/>
            <w:gridSpan w:val="10"/>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0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结果维持</w:t>
            </w:r>
          </w:p>
        </w:tc>
        <w:tc>
          <w:tcPr>
            <w:tcW w:w="60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结果纠正</w:t>
            </w:r>
          </w:p>
        </w:tc>
        <w:tc>
          <w:tcPr>
            <w:tcW w:w="600"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其他结果</w:t>
            </w:r>
          </w:p>
        </w:tc>
        <w:tc>
          <w:tcPr>
            <w:tcW w:w="600"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尚未审结</w:t>
            </w:r>
          </w:p>
        </w:tc>
        <w:tc>
          <w:tcPr>
            <w:tcW w:w="660" w:type="dxa"/>
            <w:vMerge w:val="restart"/>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总计</w:t>
            </w:r>
          </w:p>
        </w:tc>
        <w:tc>
          <w:tcPr>
            <w:tcW w:w="2970" w:type="dxa"/>
            <w:gridSpan w:val="5"/>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未经复议直接起诉</w:t>
            </w:r>
          </w:p>
        </w:tc>
        <w:tc>
          <w:tcPr>
            <w:tcW w:w="3030" w:type="dxa"/>
            <w:gridSpan w:val="5"/>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0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660" w:type="dxa"/>
            <w:vMerge w:val="continue"/>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5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结果维持</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结果纠正</w:t>
            </w:r>
          </w:p>
        </w:tc>
        <w:tc>
          <w:tcPr>
            <w:tcW w:w="60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其他结果</w:t>
            </w:r>
          </w:p>
        </w:tc>
        <w:tc>
          <w:tcPr>
            <w:tcW w:w="60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尚未审结</w:t>
            </w:r>
          </w:p>
        </w:tc>
        <w:tc>
          <w:tcPr>
            <w:tcW w:w="60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总计</w:t>
            </w:r>
          </w:p>
        </w:tc>
        <w:tc>
          <w:tcPr>
            <w:tcW w:w="60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结果维持</w:t>
            </w:r>
          </w:p>
        </w:tc>
        <w:tc>
          <w:tcPr>
            <w:tcW w:w="60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结果纠正</w:t>
            </w:r>
          </w:p>
        </w:tc>
        <w:tc>
          <w:tcPr>
            <w:tcW w:w="60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其他结果</w:t>
            </w:r>
          </w:p>
        </w:tc>
        <w:tc>
          <w:tcPr>
            <w:tcW w:w="60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尚未审结</w:t>
            </w:r>
          </w:p>
        </w:tc>
        <w:tc>
          <w:tcPr>
            <w:tcW w:w="600" w:type="dxa"/>
            <w:tcBorders>
              <w:top w:val="single" w:color="000000" w:sz="6" w:space="0"/>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19"/>
                <w:szCs w:val="19"/>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21"/>
                <w:szCs w:val="21"/>
              </w:rPr>
              <w:t>0 </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21"/>
                <w:szCs w:val="21"/>
              </w:rPr>
              <w:t>0 </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21"/>
                <w:szCs w:val="21"/>
              </w:rPr>
              <w:t>0 </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21"/>
                <w:szCs w:val="21"/>
              </w:rPr>
              <w:t>0 </w:t>
            </w:r>
          </w:p>
        </w:tc>
        <w:tc>
          <w:tcPr>
            <w:tcW w:w="6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24"/>
                <w:szCs w:val="24"/>
              </w:rPr>
              <w:t>0</w:t>
            </w:r>
          </w:p>
        </w:tc>
        <w:tc>
          <w:tcPr>
            <w:tcW w:w="55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21"/>
                <w:szCs w:val="21"/>
              </w:rPr>
              <w:t> 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21"/>
                <w:szCs w:val="21"/>
              </w:rPr>
              <w:t> 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21"/>
                <w:szCs w:val="21"/>
              </w:rPr>
              <w:t>0 </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default" w:ascii="Calibri" w:hAnsi="Calibri" w:eastAsia="Calibri" w:cs="Calibri"/>
                <w:sz w:val="21"/>
                <w:szCs w:val="21"/>
              </w:rPr>
              <w:t> 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21"/>
                <w:szCs w:val="21"/>
              </w:rPr>
              <w:t> 0</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21"/>
                <w:szCs w:val="21"/>
              </w:rPr>
              <w:t>0 </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21"/>
                <w:szCs w:val="21"/>
              </w:rPr>
              <w:t>0 </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21"/>
                <w:szCs w:val="21"/>
              </w:rPr>
              <w:t>0 </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wordWrap w:val="0"/>
              <w:spacing w:before="75" w:beforeAutospacing="0" w:after="75" w:afterAutospacing="0" w:line="600" w:lineRule="atLeast"/>
              <w:ind w:left="0" w:right="0"/>
              <w:jc w:val="center"/>
            </w:pPr>
            <w:r>
              <w:rPr>
                <w:rFonts w:hint="default" w:ascii="Calibri" w:hAnsi="Calibri" w:eastAsia="Calibri" w:cs="Calibri"/>
                <w:sz w:val="21"/>
                <w:szCs w:val="21"/>
              </w:rPr>
              <w:t>0 </w:t>
            </w:r>
          </w:p>
        </w:tc>
        <w:tc>
          <w:tcPr>
            <w:tcW w:w="60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2"/>
              <w:keepNext w:val="0"/>
              <w:keepLines w:val="0"/>
              <w:widowControl/>
              <w:suppressLineNumbers w:val="0"/>
              <w:spacing w:before="75" w:beforeAutospacing="0" w:after="75" w:afterAutospacing="0" w:line="600" w:lineRule="atLeast"/>
              <w:ind w:left="0" w:right="0"/>
              <w:jc w:val="center"/>
            </w:pPr>
            <w:r>
              <w:rPr>
                <w:rFonts w:hint="eastAsia" w:ascii="宋体" w:hAnsi="宋体" w:eastAsia="宋体" w:cs="宋体"/>
                <w:sz w:val="24"/>
                <w:szCs w:val="24"/>
              </w:rPr>
              <w:t>0</w:t>
            </w:r>
          </w:p>
        </w:tc>
      </w:tr>
    </w:tbl>
    <w:p>
      <w:pPr>
        <w:pStyle w:val="2"/>
        <w:keepNext w:val="0"/>
        <w:keepLines w:val="0"/>
        <w:widowControl/>
        <w:suppressLineNumbers w:val="0"/>
        <w:shd w:val="clear" w:fill="FFFFFF"/>
        <w:spacing w:before="75" w:beforeAutospacing="0" w:after="75" w:afterAutospacing="0" w:line="600" w:lineRule="atLeast"/>
        <w:ind w:left="0" w:right="0"/>
        <w:jc w:val="center"/>
      </w:pPr>
      <w:r>
        <w:rPr>
          <w:rFonts w:hint="eastAsia" w:ascii="宋体" w:hAnsi="宋体" w:eastAsia="宋体" w:cs="宋体"/>
          <w:color w:val="333333"/>
          <w:sz w:val="24"/>
          <w:szCs w:val="24"/>
          <w:shd w:val="clear" w:fill="FFFFFF"/>
        </w:rPr>
        <w:t> </w:t>
      </w:r>
    </w:p>
    <w:p>
      <w:pPr>
        <w:pStyle w:val="2"/>
        <w:keepNext w:val="0"/>
        <w:keepLines w:val="0"/>
        <w:widowControl/>
        <w:suppressLineNumbers w:val="0"/>
        <w:shd w:val="clear" w:fill="FFFFFF"/>
        <w:spacing w:before="0" w:beforeAutospacing="0" w:after="0" w:afterAutospacing="0" w:line="600" w:lineRule="atLeast"/>
        <w:ind w:left="0" w:right="0" w:firstLine="420"/>
        <w:jc w:val="both"/>
      </w:pPr>
      <w:r>
        <w:rPr>
          <w:rFonts w:hint="eastAsia" w:ascii="宋体" w:hAnsi="宋体" w:eastAsia="宋体" w:cs="宋体"/>
          <w:color w:val="333333"/>
          <w:sz w:val="24"/>
          <w:szCs w:val="24"/>
          <w:shd w:val="clear" w:fill="FFFFFF"/>
        </w:rPr>
        <w:t>五</w:t>
      </w:r>
      <w:r>
        <w:rPr>
          <w:rFonts w:hint="default" w:ascii="方正黑体简体" w:hAnsi="方正黑体简体" w:eastAsia="方正黑体简体" w:cs="方正黑体简体"/>
          <w:color w:val="333333"/>
          <w:sz w:val="24"/>
          <w:szCs w:val="24"/>
          <w:shd w:val="clear" w:fill="FFFFFF"/>
        </w:rPr>
        <w:t>、存在的主要问题及改进情况</w:t>
      </w:r>
    </w:p>
    <w:p>
      <w:pPr>
        <w:pStyle w:val="2"/>
        <w:keepNext w:val="0"/>
        <w:keepLines w:val="0"/>
        <w:widowControl/>
        <w:suppressLineNumbers w:val="0"/>
        <w:spacing w:before="75" w:beforeAutospacing="0" w:after="75" w:afterAutospacing="0" w:line="405" w:lineRule="atLeast"/>
        <w:ind w:left="0" w:right="0" w:firstLine="555"/>
      </w:pPr>
      <w:r>
        <w:rPr>
          <w:rFonts w:hint="eastAsia" w:ascii="仿宋" w:hAnsi="仿宋" w:eastAsia="仿宋" w:cs="仿宋"/>
          <w:color w:val="555555"/>
          <w:sz w:val="24"/>
          <w:szCs w:val="24"/>
          <w:shd w:val="clear" w:fill="FFFFFF"/>
        </w:rPr>
        <w:t>2019年，我局在政府信息公开工作方面取得了一定的成效，但尚存在一些不足和差距，主要表现在：政府信息公开的内容还不够深入全面；主动公开工作的日常化、常态化有待进一步加强。</w:t>
      </w:r>
    </w:p>
    <w:p>
      <w:pPr>
        <w:pStyle w:val="2"/>
        <w:keepNext w:val="0"/>
        <w:keepLines w:val="0"/>
        <w:widowControl/>
        <w:suppressLineNumbers w:val="0"/>
        <w:spacing w:before="75" w:beforeAutospacing="0" w:after="75" w:afterAutospacing="0" w:line="405" w:lineRule="atLeast"/>
        <w:ind w:left="0" w:right="0" w:firstLine="480"/>
      </w:pPr>
      <w:r>
        <w:rPr>
          <w:rFonts w:hint="eastAsia" w:ascii="仿宋" w:hAnsi="仿宋" w:eastAsia="仿宋" w:cs="仿宋"/>
          <w:color w:val="555555"/>
          <w:sz w:val="24"/>
          <w:szCs w:val="24"/>
          <w:shd w:val="clear" w:fill="FFFFFF"/>
        </w:rPr>
        <w:t>2020年，我局将按照县委、县政府和上级部门的要求，进一步加强和深化政府信息公开工作，加强人员业务培训，提高工作能力和业务水平，在不断拓展政府信息公开的宽度和广度的同时，进一步规范政府信息公开的程序，在强化信息的时效性和工作规范化等方面下功夫，及时更新信息内容、提高信息质量，使社会公众能获取方便、及时、丰富的信息服务。</w:t>
      </w:r>
    </w:p>
    <w:p>
      <w:pPr>
        <w:pStyle w:val="2"/>
        <w:keepNext w:val="0"/>
        <w:keepLines w:val="0"/>
        <w:widowControl/>
        <w:suppressLineNumbers w:val="0"/>
        <w:shd w:val="clear" w:fill="FFFFFF"/>
        <w:spacing w:before="0" w:beforeAutospacing="0" w:after="0" w:afterAutospacing="0" w:line="600" w:lineRule="atLeast"/>
        <w:ind w:left="0" w:right="0" w:firstLine="420"/>
        <w:jc w:val="both"/>
      </w:pPr>
      <w:r>
        <w:rPr>
          <w:rFonts w:hint="eastAsia" w:ascii="宋体" w:hAnsi="宋体" w:eastAsia="宋体" w:cs="宋体"/>
          <w:color w:val="333333"/>
          <w:sz w:val="24"/>
          <w:szCs w:val="24"/>
          <w:shd w:val="clear" w:fill="FFFFFF"/>
        </w:rPr>
        <w:t>六、</w:t>
      </w:r>
      <w:r>
        <w:rPr>
          <w:rFonts w:hint="default" w:ascii="方正黑体简体" w:hAnsi="方正黑体简体" w:eastAsia="方正黑体简体" w:cs="方正黑体简体"/>
          <w:color w:val="333333"/>
          <w:sz w:val="24"/>
          <w:szCs w:val="24"/>
          <w:shd w:val="clear" w:fill="FFFFFF"/>
        </w:rPr>
        <w:t>其他需要报告的事项</w:t>
      </w:r>
    </w:p>
    <w:p>
      <w:pPr>
        <w:pStyle w:val="2"/>
        <w:keepNext w:val="0"/>
        <w:keepLines w:val="0"/>
        <w:widowControl/>
        <w:suppressLineNumbers w:val="0"/>
        <w:spacing w:before="75" w:beforeAutospacing="0" w:after="75" w:afterAutospacing="0"/>
        <w:ind w:left="0" w:right="0" w:firstLine="480"/>
      </w:pPr>
      <w:r>
        <w:rPr>
          <w:rFonts w:hint="eastAsia" w:ascii="仿宋" w:hAnsi="仿宋" w:eastAsia="仿宋" w:cs="仿宋"/>
          <w:color w:val="555555"/>
          <w:sz w:val="24"/>
          <w:szCs w:val="24"/>
          <w:shd w:val="clear" w:fill="FFFFFF"/>
        </w:rPr>
        <w:t>无</w:t>
      </w:r>
    </w:p>
    <w:p>
      <w:pPr>
        <w:pStyle w:val="2"/>
        <w:keepNext w:val="0"/>
        <w:keepLines w:val="0"/>
        <w:widowControl/>
        <w:suppressLineNumbers w:val="0"/>
        <w:spacing w:before="75" w:beforeAutospacing="0" w:after="75" w:afterAutospacing="0"/>
        <w:ind w:left="0" w:right="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5A7A13"/>
    <w:rsid w:val="4B5A7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2021-06-15T07:10:00Z</dcterms:created>
  <dc:creator>Administrator</dc:creator>
  <cp:lastModifiedBy>Administrator</cp:lastModifiedBy>
  <dcterms:modified xsi:type="dcterms:W3CDTF">2021-06-15T07:10:48Z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CDC39663993B44389F2DF73B41464FE9</vt:lpwstr>
  </property>
</Properties>
</file>